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D66BE" w14:textId="4D418107" w:rsidR="00A84A37" w:rsidRPr="0051379C" w:rsidRDefault="00F6115B" w:rsidP="00A84A37">
      <w:pPr>
        <w:jc w:val="center"/>
        <w:rPr>
          <w:rFonts w:eastAsia="Calibri" w:cs="Arial"/>
          <w:b/>
          <w:sz w:val="22"/>
        </w:rPr>
      </w:pPr>
      <w:r>
        <w:rPr>
          <w:rFonts w:eastAsia="Calibri" w:cs="Arial"/>
          <w:b/>
          <w:sz w:val="22"/>
        </w:rPr>
        <w:t xml:space="preserve">„Návrh“ </w:t>
      </w:r>
      <w:r w:rsidR="00A84A37" w:rsidRPr="0051379C">
        <w:rPr>
          <w:rFonts w:eastAsia="Calibri" w:cs="Arial"/>
          <w:b/>
          <w:sz w:val="22"/>
        </w:rPr>
        <w:t>Příkazní smlouv</w:t>
      </w:r>
      <w:r>
        <w:rPr>
          <w:rFonts w:eastAsia="Calibri" w:cs="Arial"/>
          <w:b/>
          <w:sz w:val="22"/>
        </w:rPr>
        <w:t>y</w:t>
      </w:r>
    </w:p>
    <w:p w14:paraId="670B3421" w14:textId="77777777" w:rsidR="00A84A37" w:rsidRPr="0051379C" w:rsidRDefault="00A84A37" w:rsidP="00A84A37">
      <w:pPr>
        <w:tabs>
          <w:tab w:val="right" w:pos="9072"/>
        </w:tabs>
        <w:jc w:val="center"/>
        <w:rPr>
          <w:rFonts w:eastAsia="Calibri" w:cs="Arial"/>
          <w:b/>
          <w:sz w:val="22"/>
        </w:rPr>
      </w:pPr>
      <w:r w:rsidRPr="0051379C">
        <w:rPr>
          <w:rFonts w:eastAsia="Calibri" w:cs="Arial"/>
          <w:b/>
          <w:sz w:val="22"/>
        </w:rPr>
        <w:t>uzavřená</w:t>
      </w:r>
    </w:p>
    <w:p w14:paraId="33DBBD2A" w14:textId="77777777" w:rsidR="00A84A37" w:rsidRPr="0051379C" w:rsidRDefault="00A84A37" w:rsidP="00A84A37">
      <w:pPr>
        <w:jc w:val="center"/>
        <w:rPr>
          <w:rFonts w:eastAsia="Calibri" w:cs="Arial"/>
          <w:b/>
          <w:sz w:val="22"/>
        </w:rPr>
      </w:pPr>
      <w:r w:rsidRPr="0051379C">
        <w:rPr>
          <w:rFonts w:eastAsia="Calibri" w:cs="Arial"/>
          <w:b/>
          <w:sz w:val="22"/>
        </w:rPr>
        <w:t>dne, měsíce, roku níže uvedeného</w:t>
      </w:r>
    </w:p>
    <w:p w14:paraId="0FF4D2AC" w14:textId="77777777" w:rsidR="00A84A37" w:rsidRPr="0051379C" w:rsidRDefault="00A84A37" w:rsidP="00A84A37">
      <w:pPr>
        <w:spacing w:after="200"/>
        <w:jc w:val="left"/>
        <w:rPr>
          <w:rFonts w:eastAsia="Calibri" w:cs="Arial"/>
          <w:sz w:val="22"/>
        </w:rPr>
      </w:pPr>
    </w:p>
    <w:p w14:paraId="3E42BEDE" w14:textId="77777777" w:rsidR="00A84A37" w:rsidRPr="0051379C" w:rsidRDefault="00A84A37" w:rsidP="00A84A37">
      <w:pPr>
        <w:spacing w:after="200"/>
        <w:jc w:val="left"/>
        <w:rPr>
          <w:rFonts w:eastAsia="Calibri" w:cs="Arial"/>
          <w:sz w:val="22"/>
        </w:rPr>
      </w:pPr>
      <w:proofErr w:type="gramStart"/>
      <w:r w:rsidRPr="0051379C">
        <w:rPr>
          <w:rFonts w:eastAsia="Calibri" w:cs="Arial"/>
          <w:sz w:val="22"/>
        </w:rPr>
        <w:t>mezi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A84A37" w:rsidRPr="0051379C" w14:paraId="620FF19D" w14:textId="77777777" w:rsidTr="00F74AF9">
        <w:tc>
          <w:tcPr>
            <w:tcW w:w="2972" w:type="dxa"/>
          </w:tcPr>
          <w:p w14:paraId="21A10ED6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>Název</w:t>
            </w:r>
          </w:p>
        </w:tc>
        <w:tc>
          <w:tcPr>
            <w:tcW w:w="6088" w:type="dxa"/>
          </w:tcPr>
          <w:p w14:paraId="3AC2E675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b/>
                <w:sz w:val="22"/>
              </w:rPr>
            </w:pPr>
            <w:r w:rsidRPr="0051379C">
              <w:rPr>
                <w:rFonts w:eastAsia="Calibri" w:cs="Arial"/>
                <w:b/>
                <w:sz w:val="22"/>
              </w:rPr>
              <w:t>Statutární město Třinec</w:t>
            </w:r>
          </w:p>
        </w:tc>
      </w:tr>
      <w:tr w:rsidR="00A84A37" w:rsidRPr="0051379C" w14:paraId="24DB00C5" w14:textId="77777777" w:rsidTr="00F74AF9">
        <w:tc>
          <w:tcPr>
            <w:tcW w:w="2972" w:type="dxa"/>
          </w:tcPr>
          <w:p w14:paraId="18B50F72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>Sídlo</w:t>
            </w:r>
          </w:p>
        </w:tc>
        <w:tc>
          <w:tcPr>
            <w:tcW w:w="6088" w:type="dxa"/>
          </w:tcPr>
          <w:p w14:paraId="751E421B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>Jablunkovská 160, 739 61 Třinec</w:t>
            </w:r>
          </w:p>
        </w:tc>
      </w:tr>
      <w:tr w:rsidR="00A84A37" w:rsidRPr="0051379C" w14:paraId="4B082D5B" w14:textId="77777777" w:rsidTr="00F74AF9">
        <w:tc>
          <w:tcPr>
            <w:tcW w:w="2972" w:type="dxa"/>
          </w:tcPr>
          <w:p w14:paraId="00B93BE5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>IČO</w:t>
            </w:r>
          </w:p>
        </w:tc>
        <w:tc>
          <w:tcPr>
            <w:tcW w:w="6088" w:type="dxa"/>
          </w:tcPr>
          <w:p w14:paraId="5D3B67C1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>00297313</w:t>
            </w:r>
          </w:p>
        </w:tc>
      </w:tr>
      <w:tr w:rsidR="00A84A37" w:rsidRPr="0051379C" w14:paraId="46770FE8" w14:textId="77777777" w:rsidTr="00F74AF9">
        <w:tc>
          <w:tcPr>
            <w:tcW w:w="2972" w:type="dxa"/>
          </w:tcPr>
          <w:p w14:paraId="13C0E3FD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>DIČ</w:t>
            </w:r>
          </w:p>
        </w:tc>
        <w:tc>
          <w:tcPr>
            <w:tcW w:w="6088" w:type="dxa"/>
          </w:tcPr>
          <w:p w14:paraId="69F711E9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>CZ00297313</w:t>
            </w:r>
          </w:p>
        </w:tc>
      </w:tr>
      <w:tr w:rsidR="00A84A37" w:rsidRPr="0051379C" w14:paraId="37640559" w14:textId="77777777" w:rsidTr="00F74AF9">
        <w:tc>
          <w:tcPr>
            <w:tcW w:w="2972" w:type="dxa"/>
          </w:tcPr>
          <w:p w14:paraId="60A9FF36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>Zastoupení</w:t>
            </w:r>
          </w:p>
        </w:tc>
        <w:tc>
          <w:tcPr>
            <w:tcW w:w="6088" w:type="dxa"/>
          </w:tcPr>
          <w:p w14:paraId="74B0A2D7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>RNDr. Věra Palkovská, primátorka</w:t>
            </w:r>
          </w:p>
        </w:tc>
      </w:tr>
      <w:tr w:rsidR="00A84A37" w:rsidRPr="0051379C" w14:paraId="0686EFDA" w14:textId="77777777" w:rsidTr="00F74AF9">
        <w:tc>
          <w:tcPr>
            <w:tcW w:w="2972" w:type="dxa"/>
          </w:tcPr>
          <w:p w14:paraId="132DE8E6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>Kontaktní osoba</w:t>
            </w:r>
          </w:p>
        </w:tc>
        <w:tc>
          <w:tcPr>
            <w:tcW w:w="6088" w:type="dxa"/>
          </w:tcPr>
          <w:p w14:paraId="634C708E" w14:textId="77777777" w:rsidR="00A84A37" w:rsidRPr="000F427D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0F427D">
              <w:rPr>
                <w:rFonts w:eastAsia="Calibri" w:cs="Arial"/>
                <w:sz w:val="22"/>
              </w:rPr>
              <w:t>Mgr. Rafał Zawadzki, vedoucí odboru právního</w:t>
            </w:r>
          </w:p>
        </w:tc>
      </w:tr>
      <w:tr w:rsidR="00A84A37" w:rsidRPr="0051379C" w14:paraId="3E4AAD0E" w14:textId="77777777" w:rsidTr="00F74AF9">
        <w:tc>
          <w:tcPr>
            <w:tcW w:w="2972" w:type="dxa"/>
          </w:tcPr>
          <w:p w14:paraId="01AC1FC4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 xml:space="preserve">E-mail </w:t>
            </w:r>
          </w:p>
        </w:tc>
        <w:tc>
          <w:tcPr>
            <w:tcW w:w="6088" w:type="dxa"/>
          </w:tcPr>
          <w:p w14:paraId="434B6411" w14:textId="7B502173" w:rsidR="00A84A37" w:rsidRPr="000F427D" w:rsidRDefault="0083649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hyperlink r:id="rId7" w:history="1">
              <w:r w:rsidR="0054599E" w:rsidRPr="00994394">
                <w:rPr>
                  <w:rStyle w:val="Hypertextovodkaz"/>
                  <w:rFonts w:eastAsia="Calibri" w:cs="Arial"/>
                  <w:sz w:val="22"/>
                </w:rPr>
                <w:t>rafal.zawadzki@trinecko.cz</w:t>
              </w:r>
            </w:hyperlink>
            <w:r w:rsidR="0054599E">
              <w:rPr>
                <w:rFonts w:eastAsia="Calibri" w:cs="Arial"/>
                <w:sz w:val="22"/>
              </w:rPr>
              <w:t>, epodatelna@trinecko.cz</w:t>
            </w:r>
          </w:p>
        </w:tc>
      </w:tr>
      <w:tr w:rsidR="00A84A37" w:rsidRPr="0051379C" w14:paraId="7420C708" w14:textId="77777777" w:rsidTr="00F74AF9">
        <w:tc>
          <w:tcPr>
            <w:tcW w:w="2972" w:type="dxa"/>
          </w:tcPr>
          <w:p w14:paraId="51DDCA80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 xml:space="preserve">Telefon </w:t>
            </w:r>
          </w:p>
        </w:tc>
        <w:tc>
          <w:tcPr>
            <w:tcW w:w="6088" w:type="dxa"/>
          </w:tcPr>
          <w:p w14:paraId="44AE773A" w14:textId="77777777" w:rsidR="00A84A37" w:rsidRPr="000F427D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0F427D">
              <w:rPr>
                <w:rFonts w:eastAsia="Calibri" w:cs="Arial"/>
                <w:sz w:val="22"/>
              </w:rPr>
              <w:t>+420 558 306 184</w:t>
            </w:r>
          </w:p>
        </w:tc>
      </w:tr>
    </w:tbl>
    <w:p w14:paraId="28806B61" w14:textId="77777777" w:rsidR="00A84A37" w:rsidRPr="0051379C" w:rsidRDefault="00A84A37" w:rsidP="00A84A37">
      <w:pPr>
        <w:spacing w:after="0"/>
        <w:jc w:val="left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dále jen „příkazce“</w:t>
      </w:r>
    </w:p>
    <w:p w14:paraId="61A42A40" w14:textId="77777777" w:rsidR="00A84A37" w:rsidRPr="0051379C" w:rsidRDefault="00A84A37" w:rsidP="00A84A37">
      <w:pPr>
        <w:spacing w:after="0"/>
        <w:jc w:val="left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A84A37" w:rsidRPr="0051379C" w14:paraId="5FB28596" w14:textId="77777777" w:rsidTr="00472DEF">
        <w:tc>
          <w:tcPr>
            <w:tcW w:w="2972" w:type="dxa"/>
            <w:vAlign w:val="center"/>
          </w:tcPr>
          <w:p w14:paraId="71F5B40F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>Název</w:t>
            </w:r>
          </w:p>
        </w:tc>
        <w:tc>
          <w:tcPr>
            <w:tcW w:w="6088" w:type="dxa"/>
            <w:shd w:val="clear" w:color="auto" w:fill="FFFF00"/>
          </w:tcPr>
          <w:p w14:paraId="7A09A958" w14:textId="2E74C7CF" w:rsidR="00A84A37" w:rsidRPr="00244937" w:rsidRDefault="00A84A37" w:rsidP="00F74AF9">
            <w:pPr>
              <w:spacing w:after="0"/>
              <w:jc w:val="left"/>
              <w:rPr>
                <w:rFonts w:eastAsia="Calibri" w:cs="Arial"/>
                <w:b/>
                <w:sz w:val="22"/>
              </w:rPr>
            </w:pPr>
          </w:p>
        </w:tc>
      </w:tr>
      <w:tr w:rsidR="00A84A37" w:rsidRPr="0051379C" w14:paraId="7CBDC52C" w14:textId="77777777" w:rsidTr="00472DEF">
        <w:tc>
          <w:tcPr>
            <w:tcW w:w="2972" w:type="dxa"/>
            <w:vAlign w:val="center"/>
          </w:tcPr>
          <w:p w14:paraId="5EBBA5A1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>Sídlo</w:t>
            </w:r>
          </w:p>
        </w:tc>
        <w:tc>
          <w:tcPr>
            <w:tcW w:w="6088" w:type="dxa"/>
            <w:shd w:val="clear" w:color="auto" w:fill="FFFF00"/>
          </w:tcPr>
          <w:p w14:paraId="5FCDFF08" w14:textId="51222A90" w:rsidR="00A84A37" w:rsidRPr="00643C1F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</w:p>
        </w:tc>
      </w:tr>
      <w:tr w:rsidR="00A84A37" w:rsidRPr="0051379C" w14:paraId="74DD7C52" w14:textId="77777777" w:rsidTr="00472DEF">
        <w:tc>
          <w:tcPr>
            <w:tcW w:w="2972" w:type="dxa"/>
            <w:vAlign w:val="center"/>
          </w:tcPr>
          <w:p w14:paraId="17421F13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>IČO</w:t>
            </w:r>
          </w:p>
        </w:tc>
        <w:tc>
          <w:tcPr>
            <w:tcW w:w="6088" w:type="dxa"/>
            <w:shd w:val="clear" w:color="auto" w:fill="FFFF00"/>
          </w:tcPr>
          <w:p w14:paraId="5EAED991" w14:textId="26C7B267" w:rsidR="00A84A37" w:rsidRPr="00643C1F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</w:p>
        </w:tc>
      </w:tr>
      <w:tr w:rsidR="00A84A37" w:rsidRPr="0051379C" w14:paraId="7C90EE04" w14:textId="77777777" w:rsidTr="00472DEF">
        <w:tc>
          <w:tcPr>
            <w:tcW w:w="2972" w:type="dxa"/>
            <w:vAlign w:val="center"/>
          </w:tcPr>
          <w:p w14:paraId="6FF73E29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>DIČ</w:t>
            </w:r>
          </w:p>
        </w:tc>
        <w:tc>
          <w:tcPr>
            <w:tcW w:w="6088" w:type="dxa"/>
            <w:shd w:val="clear" w:color="auto" w:fill="FFFF00"/>
          </w:tcPr>
          <w:p w14:paraId="7B18AC24" w14:textId="5613D5F6" w:rsidR="00A84A37" w:rsidRPr="00643C1F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</w:p>
        </w:tc>
      </w:tr>
      <w:tr w:rsidR="00A84A37" w:rsidRPr="0051379C" w14:paraId="22506E3D" w14:textId="77777777" w:rsidTr="00472DEF">
        <w:tc>
          <w:tcPr>
            <w:tcW w:w="2972" w:type="dxa"/>
            <w:vAlign w:val="center"/>
          </w:tcPr>
          <w:p w14:paraId="5F0802EB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>Zápis ve veřejném rejstříku</w:t>
            </w:r>
          </w:p>
        </w:tc>
        <w:tc>
          <w:tcPr>
            <w:tcW w:w="6088" w:type="dxa"/>
            <w:shd w:val="clear" w:color="auto" w:fill="FFFF00"/>
          </w:tcPr>
          <w:p w14:paraId="5164C7C3" w14:textId="52040F37" w:rsidR="00A84A37" w:rsidRPr="00643C1F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</w:p>
        </w:tc>
      </w:tr>
      <w:tr w:rsidR="00A84A37" w:rsidRPr="0051379C" w14:paraId="048CB1B8" w14:textId="77777777" w:rsidTr="00472DEF">
        <w:tc>
          <w:tcPr>
            <w:tcW w:w="2972" w:type="dxa"/>
            <w:vAlign w:val="center"/>
          </w:tcPr>
          <w:p w14:paraId="02A1F14E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>Zastoupení</w:t>
            </w:r>
          </w:p>
        </w:tc>
        <w:tc>
          <w:tcPr>
            <w:tcW w:w="6088" w:type="dxa"/>
            <w:shd w:val="clear" w:color="auto" w:fill="FFFF00"/>
          </w:tcPr>
          <w:p w14:paraId="0F3BCF4F" w14:textId="39247C31" w:rsidR="00A84A37" w:rsidRPr="00643C1F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</w:p>
        </w:tc>
      </w:tr>
      <w:tr w:rsidR="00A84A37" w:rsidRPr="0051379C" w14:paraId="2EA422E4" w14:textId="77777777" w:rsidTr="00472DEF">
        <w:tc>
          <w:tcPr>
            <w:tcW w:w="2972" w:type="dxa"/>
            <w:vAlign w:val="center"/>
          </w:tcPr>
          <w:p w14:paraId="248A83D0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>Kontaktní osoba</w:t>
            </w:r>
          </w:p>
        </w:tc>
        <w:tc>
          <w:tcPr>
            <w:tcW w:w="6088" w:type="dxa"/>
            <w:shd w:val="clear" w:color="auto" w:fill="FFFF00"/>
          </w:tcPr>
          <w:p w14:paraId="70EF7D3B" w14:textId="47BD2972" w:rsidR="00A84A37" w:rsidRPr="00643C1F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</w:p>
        </w:tc>
      </w:tr>
      <w:tr w:rsidR="00A84A37" w:rsidRPr="0051379C" w14:paraId="3B6F4A11" w14:textId="77777777" w:rsidTr="00472DEF">
        <w:tc>
          <w:tcPr>
            <w:tcW w:w="2972" w:type="dxa"/>
            <w:vAlign w:val="center"/>
          </w:tcPr>
          <w:p w14:paraId="69DB5260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 xml:space="preserve">E-mail </w:t>
            </w:r>
          </w:p>
        </w:tc>
        <w:tc>
          <w:tcPr>
            <w:tcW w:w="6088" w:type="dxa"/>
            <w:shd w:val="clear" w:color="auto" w:fill="FFFF00"/>
          </w:tcPr>
          <w:p w14:paraId="1DF42D01" w14:textId="3EEBE111" w:rsidR="00A84A37" w:rsidRPr="00643C1F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</w:p>
        </w:tc>
      </w:tr>
      <w:tr w:rsidR="00A84A37" w:rsidRPr="0051379C" w14:paraId="58AF50A8" w14:textId="77777777" w:rsidTr="00472DEF">
        <w:tc>
          <w:tcPr>
            <w:tcW w:w="2972" w:type="dxa"/>
            <w:vAlign w:val="center"/>
          </w:tcPr>
          <w:p w14:paraId="37794BB0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 xml:space="preserve">Telefon </w:t>
            </w:r>
          </w:p>
        </w:tc>
        <w:tc>
          <w:tcPr>
            <w:tcW w:w="6088" w:type="dxa"/>
            <w:shd w:val="clear" w:color="auto" w:fill="FFFF00"/>
          </w:tcPr>
          <w:p w14:paraId="43596CCA" w14:textId="7A261D2B" w:rsidR="00A84A37" w:rsidRPr="00643C1F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</w:p>
        </w:tc>
      </w:tr>
    </w:tbl>
    <w:p w14:paraId="58B61D9D" w14:textId="77777777" w:rsidR="00A84A37" w:rsidRPr="0051379C" w:rsidRDefault="00A84A37" w:rsidP="00A84A37">
      <w:pPr>
        <w:spacing w:after="200"/>
        <w:jc w:val="left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dále jen „příkazník“</w:t>
      </w:r>
    </w:p>
    <w:p w14:paraId="5D9AEF0B" w14:textId="0A0B078A" w:rsidR="00A84A37" w:rsidRDefault="00A84A37" w:rsidP="00A84A37">
      <w:pPr>
        <w:spacing w:after="200"/>
        <w:jc w:val="left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dále společně jen „smluvní strany“</w:t>
      </w:r>
    </w:p>
    <w:p w14:paraId="642CEB08" w14:textId="77777777" w:rsidR="00DD5A61" w:rsidRPr="0051379C" w:rsidRDefault="00DD5A61" w:rsidP="00A84A37">
      <w:pPr>
        <w:spacing w:after="200"/>
        <w:jc w:val="left"/>
        <w:rPr>
          <w:rFonts w:eastAsia="Calibri" w:cs="Arial"/>
          <w:sz w:val="22"/>
        </w:rPr>
      </w:pPr>
    </w:p>
    <w:p w14:paraId="1BD15F20" w14:textId="77777777" w:rsidR="00A84A37" w:rsidRPr="0051379C" w:rsidRDefault="00A84A37" w:rsidP="00A84A37">
      <w:pPr>
        <w:keepNext/>
        <w:numPr>
          <w:ilvl w:val="0"/>
          <w:numId w:val="1"/>
        </w:numPr>
        <w:spacing w:before="240" w:after="240"/>
        <w:ind w:left="357" w:hanging="357"/>
        <w:contextualSpacing/>
        <w:jc w:val="center"/>
        <w:outlineLvl w:val="0"/>
        <w:rPr>
          <w:rFonts w:eastAsia="Calibri" w:cs="Arial"/>
          <w:b/>
          <w:sz w:val="22"/>
        </w:rPr>
      </w:pPr>
      <w:bookmarkStart w:id="0" w:name="_Toc147747639"/>
      <w:bookmarkStart w:id="1" w:name="_Toc147747729"/>
      <w:r w:rsidRPr="0051379C">
        <w:rPr>
          <w:rFonts w:eastAsia="Calibri" w:cs="Arial"/>
          <w:b/>
          <w:sz w:val="22"/>
        </w:rPr>
        <w:t>Preambule</w:t>
      </w:r>
      <w:bookmarkEnd w:id="0"/>
      <w:bookmarkEnd w:id="1"/>
    </w:p>
    <w:p w14:paraId="4A3B1834" w14:textId="2339EC37" w:rsidR="00A84A37" w:rsidRPr="00AB76D1" w:rsidRDefault="00A84A37" w:rsidP="00244937">
      <w:pPr>
        <w:spacing w:before="60" w:after="60"/>
        <w:rPr>
          <w:rFonts w:cs="Arial"/>
          <w:sz w:val="22"/>
        </w:rPr>
      </w:pPr>
      <w:r w:rsidRPr="00AB76D1">
        <w:rPr>
          <w:rFonts w:cs="Arial"/>
          <w:sz w:val="22"/>
        </w:rPr>
        <w:t>Smluvní strany tímto uzavírají příkazní smlouvu ve smyslu § 2430 a násl. zákona č. 89/2012 Sb., občanský zákoník, ve znění pozdějších předpisů,</w:t>
      </w:r>
      <w:r w:rsidRPr="00AB76D1">
        <w:rPr>
          <w:sz w:val="22"/>
          <w:szCs w:val="24"/>
        </w:rPr>
        <w:t xml:space="preserve"> </w:t>
      </w:r>
      <w:r w:rsidRPr="00AB76D1">
        <w:rPr>
          <w:rFonts w:cs="Arial"/>
          <w:sz w:val="22"/>
        </w:rPr>
        <w:t>(dále jen „OZ“), jejímž účelem je spolupráce smluvních stran při organizaci zadávacího řízení ve smyslu zákona č. 134/2016 Sb., o zadávání veřejných zakázek, ve znění pozdějších předpisů, (dále jen „ZZVZ“), (dále jen „smlouva“).</w:t>
      </w:r>
    </w:p>
    <w:p w14:paraId="581C6AF7" w14:textId="77777777" w:rsidR="00A84A37" w:rsidRPr="00AB76D1" w:rsidRDefault="00A84A37" w:rsidP="00A84A37">
      <w:pPr>
        <w:pStyle w:val="Nzev"/>
        <w:keepNext/>
        <w:numPr>
          <w:ilvl w:val="0"/>
          <w:numId w:val="1"/>
        </w:numPr>
        <w:spacing w:before="240" w:after="240" w:line="276" w:lineRule="auto"/>
        <w:ind w:left="357" w:hanging="357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t xml:space="preserve"> </w:t>
      </w:r>
      <w:r w:rsidRPr="00AB76D1">
        <w:rPr>
          <w:rFonts w:ascii="Arial" w:hAnsi="Arial" w:cs="Arial"/>
          <w:b/>
          <w:bCs/>
          <w:sz w:val="22"/>
          <w:szCs w:val="22"/>
        </w:rPr>
        <w:t>Definice a pojmy</w:t>
      </w:r>
    </w:p>
    <w:p w14:paraId="55406B08" w14:textId="35F0FB60" w:rsidR="00A84A37" w:rsidRPr="00AB76D1" w:rsidRDefault="00DD5A61" w:rsidP="00A84A37">
      <w:pPr>
        <w:pStyle w:val="rove1"/>
        <w:rPr>
          <w:sz w:val="22"/>
          <w:szCs w:val="22"/>
        </w:rPr>
      </w:pPr>
      <w:r>
        <w:rPr>
          <w:sz w:val="22"/>
          <w:szCs w:val="22"/>
        </w:rPr>
        <w:t>Z</w:t>
      </w:r>
      <w:r w:rsidR="00A84A37" w:rsidRPr="00AB76D1">
        <w:rPr>
          <w:sz w:val="22"/>
          <w:szCs w:val="22"/>
        </w:rPr>
        <w:t>adávací řízení (dále jen „řízení“) – proces zadání veřejné zakázky dodavateli v souladu s pravidly uvedenými v § 6 ZZVZ; v případě zadávacího řízení v souladu se ZZVZ a dále v souladu s interními pravidly příkazce, které příkazce příkazníkovi poskytne.</w:t>
      </w:r>
    </w:p>
    <w:p w14:paraId="235701ED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 xml:space="preserve">Technická specifikace – specifikace předmětu veřejné zakázky. Jedná se o technické požadavky, které musí předmět veřejné zakázky splňovat, tedy soubor technických požadavků, které stanovují zejména vlastnosti, provedení nebo uspořádání předmětů (surovin, materiálů, výrobků, zařízení) nebo způsoby práce (pracovní postupy, zkušební </w:t>
      </w:r>
      <w:r w:rsidRPr="00AB76D1">
        <w:rPr>
          <w:sz w:val="22"/>
          <w:szCs w:val="22"/>
        </w:rPr>
        <w:lastRenderedPageBreak/>
        <w:t>metody nebo jiné činnosti), popřípadě i opatření potřebná ke zjištění, zda jsou stanovené požadavky na předmět veřejné zakázky plněny. V případě stavebních prací se jedná o projektovou dokumentaci zpracovanou v souladu s vyhláškou 169/2016 Sb., o stanovení rozsahu dokumentace veřejné zakázky na stavební práce a soupisu stavebních prací, dodávek a služeb s výkazem výměr, ve znění pozdějších předpisů.</w:t>
      </w:r>
    </w:p>
    <w:p w14:paraId="5BF1A9C7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Příkazce postupoval při výběru příkazníka v souladu s § 6 ZZVZ.</w:t>
      </w:r>
    </w:p>
    <w:p w14:paraId="610B1879" w14:textId="77777777" w:rsidR="00A84A37" w:rsidRPr="0054599E" w:rsidRDefault="00A84A37" w:rsidP="00A84A37">
      <w:pPr>
        <w:pStyle w:val="Nzev"/>
        <w:keepNext/>
        <w:numPr>
          <w:ilvl w:val="0"/>
          <w:numId w:val="1"/>
        </w:numPr>
        <w:spacing w:before="240" w:after="240" w:line="276" w:lineRule="auto"/>
        <w:ind w:left="357" w:hanging="357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t xml:space="preserve"> </w:t>
      </w:r>
      <w:r w:rsidRPr="0054599E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01B6CA5B" w14:textId="78C27B4F" w:rsidR="00A84A37" w:rsidRPr="00287A3F" w:rsidRDefault="00A84A37" w:rsidP="00287A3F">
      <w:pPr>
        <w:pStyle w:val="rove2"/>
        <w:rPr>
          <w:sz w:val="22"/>
          <w:szCs w:val="22"/>
        </w:rPr>
      </w:pPr>
      <w:r w:rsidRPr="00287A3F">
        <w:rPr>
          <w:sz w:val="22"/>
          <w:szCs w:val="22"/>
        </w:rPr>
        <w:t>Příkazce je zadavatelem veřejné zakázky s názvem</w:t>
      </w:r>
      <w:r w:rsidRPr="0054599E">
        <w:t xml:space="preserve"> „</w:t>
      </w:r>
      <w:r w:rsidR="00287A3F" w:rsidRPr="00287A3F">
        <w:rPr>
          <w:b/>
          <w:sz w:val="22"/>
          <w:szCs w:val="22"/>
        </w:rPr>
        <w:t>Autobusové stanoviště, Třinec - rekonstrukce</w:t>
      </w:r>
      <w:r w:rsidRPr="0054599E">
        <w:t xml:space="preserve">“, </w:t>
      </w:r>
      <w:r w:rsidRPr="00287A3F">
        <w:rPr>
          <w:sz w:val="22"/>
          <w:szCs w:val="22"/>
        </w:rPr>
        <w:t xml:space="preserve">jejímž předmětem je zajištění </w:t>
      </w:r>
      <w:r w:rsidR="00DD5A61" w:rsidRPr="00287A3F">
        <w:rPr>
          <w:sz w:val="22"/>
          <w:szCs w:val="22"/>
        </w:rPr>
        <w:t xml:space="preserve">realizace </w:t>
      </w:r>
      <w:r w:rsidR="00287A3F">
        <w:rPr>
          <w:sz w:val="22"/>
          <w:szCs w:val="22"/>
        </w:rPr>
        <w:t xml:space="preserve">stavebních prací spočívajících v rekonstrukci a modernizaci autobusového stanoviště (nádraží). Stavební práce zahrnují demolici a odstranění stávajícího zastřešení nástupišť; kompletní rekonstrukci stávajících zpevněných a pojezdových ploch autobusového stanoviště; dodávku a montáž nového zastřešení nástupišť; opravu stávající dešťové kanalizace včetně rekonstrukce </w:t>
      </w:r>
      <w:proofErr w:type="spellStart"/>
      <w:r w:rsidR="00287A3F">
        <w:rPr>
          <w:sz w:val="22"/>
          <w:szCs w:val="22"/>
        </w:rPr>
        <w:t>výústního</w:t>
      </w:r>
      <w:proofErr w:type="spellEnd"/>
      <w:r w:rsidR="00287A3F">
        <w:rPr>
          <w:sz w:val="22"/>
          <w:szCs w:val="22"/>
        </w:rPr>
        <w:t xml:space="preserve"> objektu a napojení odvodnění nové vybudovaného zastřešení na opravenou dešťovou kanalizaci; kompletní rekonstrukci a modernizaci stávajícího systému veřejného osvětlení v prostoru autobusového stanoviště.</w:t>
      </w:r>
      <w:r w:rsidR="00DD5A61" w:rsidRPr="00287A3F">
        <w:rPr>
          <w:sz w:val="22"/>
          <w:szCs w:val="22"/>
        </w:rPr>
        <w:t xml:space="preserve"> </w:t>
      </w:r>
    </w:p>
    <w:p w14:paraId="5C7DA3DA" w14:textId="77777777" w:rsidR="00A84A37" w:rsidRPr="000F427D" w:rsidRDefault="00A84A37" w:rsidP="00A84A37">
      <w:pPr>
        <w:pStyle w:val="rove1"/>
        <w:rPr>
          <w:sz w:val="22"/>
          <w:szCs w:val="22"/>
        </w:rPr>
      </w:pPr>
      <w:r w:rsidRPr="0054599E">
        <w:rPr>
          <w:sz w:val="22"/>
          <w:szCs w:val="22"/>
        </w:rPr>
        <w:t>Příkazník</w:t>
      </w:r>
      <w:r w:rsidRPr="000F427D">
        <w:rPr>
          <w:sz w:val="22"/>
          <w:szCs w:val="22"/>
        </w:rPr>
        <w:t xml:space="preserve"> je obchodní společnost poskytující služby spočívající v zajištění administrace řízení.</w:t>
      </w:r>
    </w:p>
    <w:p w14:paraId="5B03D523" w14:textId="77777777" w:rsidR="00A84A37" w:rsidRPr="00AB76D1" w:rsidRDefault="00A84A37" w:rsidP="00A84A37">
      <w:pPr>
        <w:pStyle w:val="rove1"/>
        <w:rPr>
          <w:sz w:val="22"/>
          <w:szCs w:val="22"/>
        </w:rPr>
      </w:pPr>
      <w:bookmarkStart w:id="2" w:name="_Ref57760564"/>
      <w:r w:rsidRPr="00AB76D1">
        <w:rPr>
          <w:sz w:val="22"/>
          <w:szCs w:val="22"/>
        </w:rPr>
        <w:t>Smluvní strany se dohodly, že příkazník bude pro příkazce poskytovat služby spočívající v zajištění administrace výše popsaného řízení jménem příkazce, a to v rozsahu činností popsaných v příloze č. 1 smlouvy.</w:t>
      </w:r>
      <w:bookmarkEnd w:id="2"/>
    </w:p>
    <w:p w14:paraId="3D14829F" w14:textId="77777777" w:rsidR="00A84A37" w:rsidRPr="00AB76D1" w:rsidRDefault="00A84A37" w:rsidP="00A84A37">
      <w:pPr>
        <w:pStyle w:val="rove1"/>
        <w:rPr>
          <w:sz w:val="22"/>
          <w:szCs w:val="22"/>
        </w:rPr>
      </w:pPr>
      <w:bookmarkStart w:id="3" w:name="_Ref57760596"/>
      <w:r w:rsidRPr="00AB76D1">
        <w:rPr>
          <w:sz w:val="22"/>
          <w:szCs w:val="22"/>
        </w:rPr>
        <w:t>Smluvní strany dále výslovně ujednávají, že:</w:t>
      </w:r>
      <w:bookmarkEnd w:id="3"/>
    </w:p>
    <w:p w14:paraId="56E3DE9C" w14:textId="77777777" w:rsidR="00A84A37" w:rsidRPr="00AB76D1" w:rsidRDefault="00A84A37" w:rsidP="00A84A37">
      <w:pPr>
        <w:pStyle w:val="rove3"/>
        <w:numPr>
          <w:ilvl w:val="3"/>
          <w:numId w:val="2"/>
        </w:numPr>
        <w:rPr>
          <w:sz w:val="22"/>
          <w:szCs w:val="22"/>
        </w:rPr>
      </w:pPr>
      <w:r w:rsidRPr="00AB76D1">
        <w:rPr>
          <w:sz w:val="22"/>
          <w:szCs w:val="22"/>
        </w:rPr>
        <w:t>předmětem smlouvy není organizace, příprava a zajištění předběžných tržních konzultací;</w:t>
      </w:r>
    </w:p>
    <w:p w14:paraId="7EDFE022" w14:textId="77777777" w:rsidR="00A84A37" w:rsidRPr="00AB76D1" w:rsidRDefault="00A84A37" w:rsidP="00A84A37">
      <w:pPr>
        <w:pStyle w:val="rove3"/>
        <w:numPr>
          <w:ilvl w:val="3"/>
          <w:numId w:val="2"/>
        </w:numPr>
        <w:rPr>
          <w:sz w:val="22"/>
          <w:szCs w:val="22"/>
        </w:rPr>
      </w:pPr>
      <w:r w:rsidRPr="00AB76D1">
        <w:rPr>
          <w:sz w:val="22"/>
          <w:szCs w:val="22"/>
        </w:rPr>
        <w:t>předmětem smlouvy je</w:t>
      </w:r>
      <w:r>
        <w:rPr>
          <w:sz w:val="22"/>
          <w:szCs w:val="22"/>
        </w:rPr>
        <w:t xml:space="preserve"> součinnost</w:t>
      </w:r>
      <w:r w:rsidRPr="00AB76D1">
        <w:rPr>
          <w:sz w:val="22"/>
          <w:szCs w:val="22"/>
        </w:rPr>
        <w:t xml:space="preserve"> stanovení technických podmínek či technické specifikace předmětu veřejné zakázky, posouzení splnění technických podmínek či technické specifikace v nabídkách podaných v řízení;</w:t>
      </w:r>
    </w:p>
    <w:p w14:paraId="6DA673E8" w14:textId="77777777" w:rsidR="00A84A37" w:rsidRPr="0054599E" w:rsidRDefault="00A84A37" w:rsidP="00A84A37">
      <w:pPr>
        <w:pStyle w:val="rove3"/>
        <w:numPr>
          <w:ilvl w:val="3"/>
          <w:numId w:val="2"/>
        </w:numPr>
        <w:rPr>
          <w:sz w:val="22"/>
          <w:szCs w:val="22"/>
        </w:rPr>
      </w:pPr>
      <w:r w:rsidRPr="00AB76D1">
        <w:rPr>
          <w:sz w:val="22"/>
          <w:szCs w:val="22"/>
        </w:rPr>
        <w:t xml:space="preserve">předmětem </w:t>
      </w:r>
      <w:r w:rsidRPr="0054599E">
        <w:rPr>
          <w:sz w:val="22"/>
          <w:szCs w:val="22"/>
        </w:rPr>
        <w:t>smlouvy je stanovení obchodních podmínek pro veřejnou zakázku;</w:t>
      </w:r>
    </w:p>
    <w:p w14:paraId="25B9795A" w14:textId="77777777" w:rsidR="00A84A37" w:rsidRPr="00AB76D1" w:rsidRDefault="00A84A37" w:rsidP="00A84A37">
      <w:pPr>
        <w:pStyle w:val="rove3"/>
        <w:numPr>
          <w:ilvl w:val="3"/>
          <w:numId w:val="2"/>
        </w:numPr>
        <w:rPr>
          <w:sz w:val="22"/>
          <w:szCs w:val="22"/>
        </w:rPr>
      </w:pPr>
      <w:r w:rsidRPr="00AB76D1">
        <w:rPr>
          <w:sz w:val="22"/>
          <w:szCs w:val="22"/>
        </w:rPr>
        <w:t>předmětem smlouvy je</w:t>
      </w:r>
      <w:r>
        <w:rPr>
          <w:sz w:val="22"/>
          <w:szCs w:val="22"/>
        </w:rPr>
        <w:t xml:space="preserve"> součinnost při</w:t>
      </w:r>
      <w:r w:rsidRPr="00AB76D1">
        <w:rPr>
          <w:sz w:val="22"/>
          <w:szCs w:val="22"/>
        </w:rPr>
        <w:t xml:space="preserve"> zpracování odpovědí na žádosti o vysvětlení zadávací dokumentace týkajících se technických podmínek či technické specifikace předmětu veřejné zakázky;</w:t>
      </w:r>
    </w:p>
    <w:p w14:paraId="57714517" w14:textId="77777777" w:rsidR="00A84A37" w:rsidRPr="00AB76D1" w:rsidRDefault="00A84A37" w:rsidP="00A84A37">
      <w:pPr>
        <w:pStyle w:val="rove3"/>
        <w:numPr>
          <w:ilvl w:val="3"/>
          <w:numId w:val="2"/>
        </w:numPr>
        <w:rPr>
          <w:sz w:val="22"/>
          <w:szCs w:val="22"/>
        </w:rPr>
      </w:pPr>
      <w:r w:rsidRPr="00AB76D1">
        <w:rPr>
          <w:sz w:val="22"/>
          <w:szCs w:val="22"/>
        </w:rPr>
        <w:t>předmětem smlouvy je zpracování rozhodnutí o námitkách zadavatele;</w:t>
      </w:r>
    </w:p>
    <w:p w14:paraId="2F746391" w14:textId="77777777" w:rsidR="00A84A37" w:rsidRPr="00AB76D1" w:rsidRDefault="00A84A37" w:rsidP="00A84A37">
      <w:pPr>
        <w:pStyle w:val="rove3"/>
        <w:numPr>
          <w:ilvl w:val="3"/>
          <w:numId w:val="2"/>
        </w:numPr>
        <w:rPr>
          <w:sz w:val="22"/>
          <w:szCs w:val="22"/>
        </w:rPr>
      </w:pPr>
      <w:r w:rsidRPr="00AB76D1">
        <w:rPr>
          <w:sz w:val="22"/>
          <w:szCs w:val="22"/>
        </w:rPr>
        <w:t xml:space="preserve">předmětem smlouvy </w:t>
      </w:r>
      <w:r>
        <w:rPr>
          <w:sz w:val="22"/>
          <w:szCs w:val="22"/>
        </w:rPr>
        <w:t>je</w:t>
      </w:r>
      <w:r w:rsidRPr="00AB76D1">
        <w:rPr>
          <w:sz w:val="22"/>
          <w:szCs w:val="22"/>
        </w:rPr>
        <w:t xml:space="preserve"> zastupování příkazce v řízení před Úřadem pro ochranu hospodářské soutěže;</w:t>
      </w:r>
    </w:p>
    <w:p w14:paraId="1F1C6DD8" w14:textId="3DB1C4CF" w:rsidR="00A84A37" w:rsidRPr="00472DEF" w:rsidRDefault="00A84A37" w:rsidP="00A84A37">
      <w:pPr>
        <w:pStyle w:val="rove3"/>
        <w:numPr>
          <w:ilvl w:val="3"/>
          <w:numId w:val="2"/>
        </w:numPr>
        <w:rPr>
          <w:sz w:val="22"/>
          <w:szCs w:val="22"/>
        </w:rPr>
      </w:pPr>
      <w:r w:rsidRPr="00472DEF">
        <w:rPr>
          <w:sz w:val="22"/>
          <w:szCs w:val="22"/>
        </w:rPr>
        <w:t xml:space="preserve">předmětem smlouvy </w:t>
      </w:r>
      <w:r w:rsidR="00472DEF" w:rsidRPr="00472DEF">
        <w:rPr>
          <w:sz w:val="22"/>
          <w:szCs w:val="22"/>
        </w:rPr>
        <w:t>není</w:t>
      </w:r>
      <w:r w:rsidRPr="00472DEF">
        <w:rPr>
          <w:sz w:val="22"/>
          <w:szCs w:val="22"/>
        </w:rPr>
        <w:t xml:space="preserve"> zastupování příkazce v řízení před příslušnými soudy;</w:t>
      </w:r>
      <w:r w:rsidR="0054599E" w:rsidRPr="00472DEF">
        <w:rPr>
          <w:sz w:val="22"/>
          <w:szCs w:val="22"/>
        </w:rPr>
        <w:t xml:space="preserve"> </w:t>
      </w:r>
    </w:p>
    <w:p w14:paraId="20AECBD7" w14:textId="77777777" w:rsidR="00A84A37" w:rsidRPr="00AB76D1" w:rsidRDefault="00A84A37" w:rsidP="00A84A37">
      <w:pPr>
        <w:pStyle w:val="rove3"/>
        <w:numPr>
          <w:ilvl w:val="3"/>
          <w:numId w:val="2"/>
        </w:numPr>
        <w:rPr>
          <w:sz w:val="22"/>
          <w:szCs w:val="22"/>
        </w:rPr>
      </w:pPr>
      <w:r w:rsidRPr="00AB76D1">
        <w:rPr>
          <w:sz w:val="22"/>
          <w:szCs w:val="22"/>
        </w:rPr>
        <w:t xml:space="preserve">předmětem smlouvy </w:t>
      </w:r>
      <w:r>
        <w:rPr>
          <w:sz w:val="22"/>
          <w:szCs w:val="22"/>
        </w:rPr>
        <w:t>je součinnost</w:t>
      </w:r>
      <w:r w:rsidRPr="00AB76D1">
        <w:rPr>
          <w:sz w:val="22"/>
          <w:szCs w:val="22"/>
        </w:rPr>
        <w:t xml:space="preserve"> zpracování odpovědí k připomínkám či dotazům poskytovatele dotace k řízení.</w:t>
      </w:r>
    </w:p>
    <w:p w14:paraId="6CCEBECF" w14:textId="1A3349F5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 xml:space="preserve">Příkazce je oprávněn požádat příkazníka o další poradenství v návaznosti na veřejnou zakázku, které není součástí předmětu </w:t>
      </w:r>
      <w:r w:rsidRPr="00276090">
        <w:rPr>
          <w:sz w:val="22"/>
          <w:szCs w:val="22"/>
        </w:rPr>
        <w:t>plnění podle smlouvy (např. při přípravě dodatků ke smlouvě</w:t>
      </w:r>
      <w:r w:rsidR="00287A3F" w:rsidRPr="00276090">
        <w:rPr>
          <w:sz w:val="22"/>
          <w:szCs w:val="22"/>
        </w:rPr>
        <w:t xml:space="preserve"> s vybraným dodavatelem apod.), a to na základě </w:t>
      </w:r>
      <w:r w:rsidR="00615C5A" w:rsidRPr="00276090">
        <w:rPr>
          <w:sz w:val="22"/>
          <w:szCs w:val="22"/>
        </w:rPr>
        <w:t xml:space="preserve">písemné </w:t>
      </w:r>
      <w:r w:rsidR="00287A3F" w:rsidRPr="00276090">
        <w:rPr>
          <w:sz w:val="22"/>
          <w:szCs w:val="22"/>
        </w:rPr>
        <w:t>objednávky.</w:t>
      </w:r>
    </w:p>
    <w:p w14:paraId="527B04E2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Předmětem smlouvy nejsou jednání uvedená v § 43 odst. 2 ZZVZ, tj. výběr dodavatele, vyloučení účastníka řízení, zrušení řízení, nebo rozhodnutí o námitkách. Příkazník je však povinen připravit příkazci podklady nebo poskytnout součinnost pro tato jednání, není-li ve smlouvě stanoveno jinak.</w:t>
      </w:r>
    </w:p>
    <w:p w14:paraId="54772B57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Předmětem smlouvy není uveřejňování dokumentů a informací v souladu se ZZVZ po předání kompletní dokumentace o řízení k archivaci příkazci, pokud se smluvní strany nedohodnou jinak.</w:t>
      </w:r>
    </w:p>
    <w:p w14:paraId="7AC68F41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Příkazník je povinen na základě pokynu příkazce splnit předmět smlouvy.</w:t>
      </w:r>
    </w:p>
    <w:p w14:paraId="2E72AAF9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Příkazce je povinen na základě splnění předmětu smlouvy uhradit příkazníkovi sjednanou odměnu.</w:t>
      </w:r>
    </w:p>
    <w:p w14:paraId="0015DDC4" w14:textId="77777777" w:rsidR="00A84A37" w:rsidRPr="00AB76D1" w:rsidRDefault="00A84A37" w:rsidP="00A84A37">
      <w:pPr>
        <w:pStyle w:val="Nzev"/>
        <w:keepNext/>
        <w:numPr>
          <w:ilvl w:val="0"/>
          <w:numId w:val="1"/>
        </w:numPr>
        <w:spacing w:before="240" w:after="240" w:line="276" w:lineRule="auto"/>
        <w:ind w:left="357" w:hanging="357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t xml:space="preserve"> </w:t>
      </w:r>
      <w:r w:rsidRPr="00AB76D1">
        <w:rPr>
          <w:rFonts w:ascii="Arial" w:hAnsi="Arial" w:cs="Arial"/>
          <w:b/>
          <w:bCs/>
          <w:sz w:val="22"/>
          <w:szCs w:val="22"/>
        </w:rPr>
        <w:t>Termín a místo plnění</w:t>
      </w:r>
    </w:p>
    <w:p w14:paraId="61E94A5E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Smlouva se uzavírá na dobu určitou, a to od účinnosti smlouvy do předání kompletní dokumentace o řízení k archivaci příkazci.</w:t>
      </w:r>
    </w:p>
    <w:p w14:paraId="4DD6F1C2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Místem plnění se sjednávají prostory příkazce, případně prostory příkazníka či jiné prostory, a to vždy s ohledem na povahu konkrétního právního jednání.</w:t>
      </w:r>
    </w:p>
    <w:p w14:paraId="4A057F62" w14:textId="77777777" w:rsidR="00A84A37" w:rsidRPr="00AB76D1" w:rsidRDefault="00A84A37" w:rsidP="00A84A37">
      <w:pPr>
        <w:pStyle w:val="Nzev"/>
        <w:keepNext/>
        <w:numPr>
          <w:ilvl w:val="0"/>
          <w:numId w:val="1"/>
        </w:numPr>
        <w:spacing w:before="240" w:after="240" w:line="276" w:lineRule="auto"/>
        <w:ind w:left="357" w:hanging="357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bookmarkStart w:id="4" w:name="_Ref57760937"/>
      <w:r>
        <w:t xml:space="preserve"> </w:t>
      </w:r>
      <w:r w:rsidRPr="00AB76D1">
        <w:rPr>
          <w:rFonts w:ascii="Arial" w:hAnsi="Arial" w:cs="Arial"/>
          <w:b/>
          <w:bCs/>
          <w:sz w:val="22"/>
          <w:szCs w:val="22"/>
        </w:rPr>
        <w:t>Odměna a platební podmínky</w:t>
      </w:r>
      <w:bookmarkEnd w:id="4"/>
    </w:p>
    <w:p w14:paraId="4FF4BF9F" w14:textId="01C769D6" w:rsidR="00A84A37" w:rsidRPr="00244937" w:rsidRDefault="00A84A37" w:rsidP="00A84A37">
      <w:pPr>
        <w:pStyle w:val="rove1"/>
        <w:rPr>
          <w:strike/>
          <w:sz w:val="22"/>
          <w:szCs w:val="22"/>
        </w:rPr>
      </w:pPr>
      <w:bookmarkStart w:id="5" w:name="_Ref57760624"/>
      <w:r w:rsidRPr="00AB76D1">
        <w:rPr>
          <w:sz w:val="22"/>
          <w:szCs w:val="22"/>
        </w:rPr>
        <w:t xml:space="preserve">Výše smluvní odměny za </w:t>
      </w:r>
      <w:r w:rsidR="00276090">
        <w:rPr>
          <w:sz w:val="22"/>
          <w:szCs w:val="22"/>
        </w:rPr>
        <w:t>administraci</w:t>
      </w:r>
      <w:r w:rsidRPr="00AB76D1">
        <w:rPr>
          <w:sz w:val="22"/>
          <w:szCs w:val="22"/>
        </w:rPr>
        <w:t xml:space="preserve"> řízení podle </w:t>
      </w:r>
      <w:proofErr w:type="gramStart"/>
      <w:r w:rsidRPr="00AB76D1">
        <w:rPr>
          <w:sz w:val="22"/>
          <w:szCs w:val="22"/>
        </w:rPr>
        <w:t xml:space="preserve">čl. </w:t>
      </w:r>
      <w:r w:rsidRPr="00AB76D1">
        <w:rPr>
          <w:sz w:val="22"/>
          <w:szCs w:val="22"/>
        </w:rPr>
        <w:fldChar w:fldCharType="begin"/>
      </w:r>
      <w:r w:rsidRPr="00AB76D1">
        <w:rPr>
          <w:sz w:val="22"/>
          <w:szCs w:val="22"/>
        </w:rPr>
        <w:instrText xml:space="preserve"> REF _Ref57760564 \w \h </w:instrText>
      </w:r>
      <w:r>
        <w:rPr>
          <w:sz w:val="22"/>
          <w:szCs w:val="22"/>
        </w:rPr>
        <w:instrText xml:space="preserve"> \* MERGEFORMAT </w:instrText>
      </w:r>
      <w:r w:rsidRPr="00AB76D1">
        <w:rPr>
          <w:sz w:val="22"/>
          <w:szCs w:val="22"/>
        </w:rPr>
      </w:r>
      <w:r w:rsidRPr="00AB76D1">
        <w:rPr>
          <w:sz w:val="22"/>
          <w:szCs w:val="22"/>
        </w:rPr>
        <w:fldChar w:fldCharType="separate"/>
      </w:r>
      <w:r w:rsidR="001076AF">
        <w:rPr>
          <w:sz w:val="22"/>
          <w:szCs w:val="22"/>
        </w:rPr>
        <w:t>3.3</w:t>
      </w:r>
      <w:r w:rsidRPr="00AB76D1">
        <w:rPr>
          <w:sz w:val="22"/>
          <w:szCs w:val="22"/>
        </w:rPr>
        <w:fldChar w:fldCharType="end"/>
      </w:r>
      <w:r w:rsidRPr="00AB76D1">
        <w:rPr>
          <w:sz w:val="22"/>
          <w:szCs w:val="22"/>
        </w:rPr>
        <w:t>. smlouvy</w:t>
      </w:r>
      <w:proofErr w:type="gramEnd"/>
      <w:r w:rsidRPr="00AB76D1">
        <w:rPr>
          <w:sz w:val="22"/>
          <w:szCs w:val="22"/>
        </w:rPr>
        <w:t xml:space="preserve"> se sjednává ve výši </w:t>
      </w:r>
      <w:r w:rsidR="00D10687" w:rsidRPr="00244937">
        <w:rPr>
          <w:b/>
          <w:sz w:val="22"/>
          <w:szCs w:val="22"/>
          <w:highlight w:val="yellow"/>
        </w:rPr>
        <w:t>……………</w:t>
      </w:r>
      <w:r w:rsidRPr="00244937">
        <w:rPr>
          <w:b/>
          <w:sz w:val="22"/>
          <w:szCs w:val="22"/>
        </w:rPr>
        <w:t xml:space="preserve"> Kč bez DPH</w:t>
      </w:r>
      <w:r w:rsidRPr="007C3C96">
        <w:rPr>
          <w:sz w:val="22"/>
          <w:szCs w:val="22"/>
        </w:rPr>
        <w:t xml:space="preserve">. </w:t>
      </w:r>
      <w:bookmarkEnd w:id="5"/>
    </w:p>
    <w:p w14:paraId="7B681B9D" w14:textId="5CBF88C2" w:rsidR="00A84A37" w:rsidRPr="007C3C96" w:rsidRDefault="00A84A37" w:rsidP="00A84A37">
      <w:pPr>
        <w:pStyle w:val="rove1"/>
        <w:keepNext/>
        <w:rPr>
          <w:sz w:val="22"/>
          <w:szCs w:val="22"/>
        </w:rPr>
      </w:pPr>
      <w:r w:rsidRPr="007C3C96">
        <w:rPr>
          <w:sz w:val="22"/>
          <w:szCs w:val="22"/>
        </w:rPr>
        <w:t xml:space="preserve">Smluvní strany sjednávají, že činnosti podle </w:t>
      </w:r>
      <w:proofErr w:type="gramStart"/>
      <w:r w:rsidRPr="007C3C96">
        <w:rPr>
          <w:sz w:val="22"/>
          <w:szCs w:val="22"/>
        </w:rPr>
        <w:t xml:space="preserve">čl. </w:t>
      </w:r>
      <w:r w:rsidRPr="007C3C96">
        <w:rPr>
          <w:sz w:val="22"/>
          <w:szCs w:val="22"/>
        </w:rPr>
        <w:fldChar w:fldCharType="begin"/>
      </w:r>
      <w:r w:rsidRPr="007C3C96">
        <w:rPr>
          <w:sz w:val="22"/>
          <w:szCs w:val="22"/>
        </w:rPr>
        <w:instrText xml:space="preserve"> REF _Ref57760596 \w \h  \* MERGEFORMAT </w:instrText>
      </w:r>
      <w:r w:rsidRPr="007C3C96">
        <w:rPr>
          <w:sz w:val="22"/>
          <w:szCs w:val="22"/>
        </w:rPr>
      </w:r>
      <w:r w:rsidRPr="007C3C96">
        <w:rPr>
          <w:sz w:val="22"/>
          <w:szCs w:val="22"/>
        </w:rPr>
        <w:fldChar w:fldCharType="separate"/>
      </w:r>
      <w:r w:rsidR="001076AF">
        <w:rPr>
          <w:sz w:val="22"/>
          <w:szCs w:val="22"/>
        </w:rPr>
        <w:t>3.4</w:t>
      </w:r>
      <w:r w:rsidRPr="007C3C96">
        <w:rPr>
          <w:sz w:val="22"/>
          <w:szCs w:val="22"/>
        </w:rPr>
        <w:fldChar w:fldCharType="end"/>
      </w:r>
      <w:r w:rsidRPr="007C3C96">
        <w:rPr>
          <w:sz w:val="22"/>
          <w:szCs w:val="22"/>
        </w:rPr>
        <w:t>. smlouvy</w:t>
      </w:r>
      <w:proofErr w:type="gramEnd"/>
      <w:r w:rsidRPr="007C3C96">
        <w:rPr>
          <w:sz w:val="22"/>
          <w:szCs w:val="22"/>
        </w:rPr>
        <w:t>, které jsou jejím předmětem, budou hrazeny takto:</w:t>
      </w:r>
    </w:p>
    <w:p w14:paraId="63F8429B" w14:textId="66B1FBBD" w:rsidR="00A84A37" w:rsidRPr="007C3C96" w:rsidRDefault="00A84A37" w:rsidP="00A84A37">
      <w:pPr>
        <w:pStyle w:val="rove3"/>
        <w:numPr>
          <w:ilvl w:val="3"/>
          <w:numId w:val="1"/>
        </w:numPr>
        <w:ind w:left="993"/>
        <w:rPr>
          <w:sz w:val="22"/>
          <w:szCs w:val="22"/>
        </w:rPr>
      </w:pPr>
      <w:r w:rsidRPr="007C3C96">
        <w:rPr>
          <w:sz w:val="22"/>
          <w:szCs w:val="22"/>
        </w:rPr>
        <w:t xml:space="preserve">organizace, příprava a zajištění předběžných tržních konzultací není součástí smluvní odměny podle </w:t>
      </w:r>
      <w:proofErr w:type="gramStart"/>
      <w:r w:rsidRPr="007C3C96">
        <w:rPr>
          <w:sz w:val="22"/>
          <w:szCs w:val="22"/>
        </w:rPr>
        <w:t xml:space="preserve">čl. </w:t>
      </w:r>
      <w:r w:rsidRPr="007C3C96">
        <w:rPr>
          <w:sz w:val="22"/>
          <w:szCs w:val="22"/>
        </w:rPr>
        <w:fldChar w:fldCharType="begin"/>
      </w:r>
      <w:r w:rsidRPr="007C3C96">
        <w:rPr>
          <w:sz w:val="22"/>
          <w:szCs w:val="22"/>
        </w:rPr>
        <w:instrText xml:space="preserve"> REF _Ref57760624 \w \h  \* MERGEFORMAT </w:instrText>
      </w:r>
      <w:r w:rsidRPr="007C3C96">
        <w:rPr>
          <w:sz w:val="22"/>
          <w:szCs w:val="22"/>
        </w:rPr>
      </w:r>
      <w:r w:rsidRPr="007C3C96">
        <w:rPr>
          <w:sz w:val="22"/>
          <w:szCs w:val="22"/>
        </w:rPr>
        <w:fldChar w:fldCharType="separate"/>
      </w:r>
      <w:r w:rsidR="001076AF">
        <w:rPr>
          <w:sz w:val="22"/>
          <w:szCs w:val="22"/>
        </w:rPr>
        <w:t>5.1</w:t>
      </w:r>
      <w:r w:rsidRPr="007C3C96">
        <w:rPr>
          <w:sz w:val="22"/>
          <w:szCs w:val="22"/>
        </w:rPr>
        <w:fldChar w:fldCharType="end"/>
      </w:r>
      <w:r w:rsidRPr="007C3C96">
        <w:rPr>
          <w:sz w:val="22"/>
          <w:szCs w:val="22"/>
        </w:rPr>
        <w:t>. smlouvy</w:t>
      </w:r>
      <w:proofErr w:type="gramEnd"/>
      <w:r w:rsidRPr="007C3C96">
        <w:rPr>
          <w:sz w:val="22"/>
          <w:szCs w:val="22"/>
        </w:rPr>
        <w:t>;</w:t>
      </w:r>
    </w:p>
    <w:p w14:paraId="462015CA" w14:textId="66224735" w:rsidR="00A84A37" w:rsidRPr="007C3C96" w:rsidRDefault="00A84A37" w:rsidP="00A84A37">
      <w:pPr>
        <w:pStyle w:val="rove3"/>
        <w:numPr>
          <w:ilvl w:val="3"/>
          <w:numId w:val="1"/>
        </w:numPr>
        <w:ind w:left="993"/>
        <w:rPr>
          <w:sz w:val="22"/>
          <w:szCs w:val="22"/>
        </w:rPr>
      </w:pPr>
      <w:r w:rsidRPr="007C3C96">
        <w:rPr>
          <w:sz w:val="22"/>
          <w:szCs w:val="22"/>
        </w:rPr>
        <w:t xml:space="preserve">součinnost při stanovení technických podmínek či technické specifikace, posouzení splnění technických podmínek či technické specifikace v nabídkách podaných v řízení </w:t>
      </w:r>
      <w:bookmarkStart w:id="6" w:name="_Hlk59279336"/>
      <w:r w:rsidRPr="007C3C96">
        <w:rPr>
          <w:sz w:val="22"/>
          <w:szCs w:val="22"/>
        </w:rPr>
        <w:t xml:space="preserve">je součástí smluvní odměny podle </w:t>
      </w:r>
      <w:proofErr w:type="gramStart"/>
      <w:r w:rsidRPr="007C3C96">
        <w:rPr>
          <w:sz w:val="22"/>
          <w:szCs w:val="22"/>
        </w:rPr>
        <w:t xml:space="preserve">čl. </w:t>
      </w:r>
      <w:r w:rsidRPr="007C3C96">
        <w:rPr>
          <w:sz w:val="22"/>
          <w:szCs w:val="22"/>
        </w:rPr>
        <w:fldChar w:fldCharType="begin"/>
      </w:r>
      <w:r w:rsidRPr="007C3C96">
        <w:rPr>
          <w:sz w:val="22"/>
          <w:szCs w:val="22"/>
        </w:rPr>
        <w:instrText xml:space="preserve"> REF _Ref57760624 \w \h  \* MERGEFORMAT </w:instrText>
      </w:r>
      <w:r w:rsidRPr="007C3C96">
        <w:rPr>
          <w:sz w:val="22"/>
          <w:szCs w:val="22"/>
        </w:rPr>
      </w:r>
      <w:r w:rsidRPr="007C3C96">
        <w:rPr>
          <w:sz w:val="22"/>
          <w:szCs w:val="22"/>
        </w:rPr>
        <w:fldChar w:fldCharType="separate"/>
      </w:r>
      <w:r w:rsidR="001076AF">
        <w:rPr>
          <w:sz w:val="22"/>
          <w:szCs w:val="22"/>
        </w:rPr>
        <w:t>5.1</w:t>
      </w:r>
      <w:r w:rsidRPr="007C3C96">
        <w:rPr>
          <w:sz w:val="22"/>
          <w:szCs w:val="22"/>
        </w:rPr>
        <w:fldChar w:fldCharType="end"/>
      </w:r>
      <w:r w:rsidRPr="007C3C96">
        <w:rPr>
          <w:sz w:val="22"/>
          <w:szCs w:val="22"/>
        </w:rPr>
        <w:t>. smlouvy</w:t>
      </w:r>
      <w:bookmarkEnd w:id="6"/>
      <w:proofErr w:type="gramEnd"/>
      <w:r w:rsidRPr="007C3C96">
        <w:rPr>
          <w:sz w:val="22"/>
          <w:szCs w:val="22"/>
        </w:rPr>
        <w:t>;</w:t>
      </w:r>
    </w:p>
    <w:p w14:paraId="57F0CC49" w14:textId="7C126F31" w:rsidR="00A84A37" w:rsidRPr="007C3C96" w:rsidRDefault="00A84A37" w:rsidP="00A84A37">
      <w:pPr>
        <w:pStyle w:val="rove3"/>
        <w:numPr>
          <w:ilvl w:val="3"/>
          <w:numId w:val="1"/>
        </w:numPr>
        <w:ind w:left="993"/>
        <w:rPr>
          <w:sz w:val="22"/>
          <w:szCs w:val="22"/>
        </w:rPr>
      </w:pPr>
      <w:r w:rsidRPr="007C3C96">
        <w:rPr>
          <w:sz w:val="22"/>
          <w:szCs w:val="22"/>
        </w:rPr>
        <w:t xml:space="preserve">stanovení obchodních podmínek pro veřejnou zakázku je součástí smluvní odměny podle </w:t>
      </w:r>
      <w:proofErr w:type="gramStart"/>
      <w:r w:rsidRPr="007C3C96">
        <w:rPr>
          <w:sz w:val="22"/>
          <w:szCs w:val="22"/>
        </w:rPr>
        <w:t xml:space="preserve">čl. </w:t>
      </w:r>
      <w:r w:rsidRPr="007C3C96">
        <w:rPr>
          <w:sz w:val="22"/>
          <w:szCs w:val="22"/>
        </w:rPr>
        <w:fldChar w:fldCharType="begin"/>
      </w:r>
      <w:r w:rsidRPr="007C3C96">
        <w:rPr>
          <w:sz w:val="22"/>
          <w:szCs w:val="22"/>
        </w:rPr>
        <w:instrText xml:space="preserve"> REF _Ref57760624 \w \h  \* MERGEFORMAT </w:instrText>
      </w:r>
      <w:r w:rsidRPr="007C3C96">
        <w:rPr>
          <w:sz w:val="22"/>
          <w:szCs w:val="22"/>
        </w:rPr>
      </w:r>
      <w:r w:rsidRPr="007C3C96">
        <w:rPr>
          <w:sz w:val="22"/>
          <w:szCs w:val="22"/>
        </w:rPr>
        <w:fldChar w:fldCharType="separate"/>
      </w:r>
      <w:r w:rsidR="001076AF">
        <w:rPr>
          <w:sz w:val="22"/>
          <w:szCs w:val="22"/>
        </w:rPr>
        <w:t>5.1</w:t>
      </w:r>
      <w:r w:rsidRPr="007C3C96">
        <w:rPr>
          <w:sz w:val="22"/>
          <w:szCs w:val="22"/>
        </w:rPr>
        <w:fldChar w:fldCharType="end"/>
      </w:r>
      <w:r w:rsidRPr="007C3C96">
        <w:rPr>
          <w:sz w:val="22"/>
          <w:szCs w:val="22"/>
        </w:rPr>
        <w:t>. smlouvy</w:t>
      </w:r>
      <w:proofErr w:type="gramEnd"/>
      <w:r w:rsidRPr="007C3C96">
        <w:rPr>
          <w:sz w:val="22"/>
          <w:szCs w:val="22"/>
        </w:rPr>
        <w:t>;</w:t>
      </w:r>
    </w:p>
    <w:p w14:paraId="4BD9E78F" w14:textId="4D0161B7" w:rsidR="00A84A37" w:rsidRPr="007C3C96" w:rsidRDefault="00A84A37" w:rsidP="00A84A37">
      <w:pPr>
        <w:pStyle w:val="rove3"/>
        <w:numPr>
          <w:ilvl w:val="3"/>
          <w:numId w:val="1"/>
        </w:numPr>
        <w:ind w:left="993"/>
        <w:rPr>
          <w:sz w:val="22"/>
          <w:szCs w:val="22"/>
        </w:rPr>
      </w:pPr>
      <w:r w:rsidRPr="007C3C96">
        <w:rPr>
          <w:sz w:val="22"/>
          <w:szCs w:val="22"/>
        </w:rPr>
        <w:t xml:space="preserve">součinnost při zpracování odpovědí na žádosti o vysvětlení zadávací dokumentace týkajících se technických podmínek či technické specifikace předmětu veřejné zakázky je součástí smluvní odměny podle </w:t>
      </w:r>
      <w:proofErr w:type="gramStart"/>
      <w:r w:rsidRPr="007C3C96">
        <w:rPr>
          <w:sz w:val="22"/>
          <w:szCs w:val="22"/>
        </w:rPr>
        <w:t xml:space="preserve">čl. </w:t>
      </w:r>
      <w:r w:rsidRPr="007C3C96">
        <w:rPr>
          <w:sz w:val="22"/>
          <w:szCs w:val="22"/>
        </w:rPr>
        <w:fldChar w:fldCharType="begin"/>
      </w:r>
      <w:r w:rsidRPr="007C3C96">
        <w:rPr>
          <w:sz w:val="22"/>
          <w:szCs w:val="22"/>
        </w:rPr>
        <w:instrText xml:space="preserve"> REF _Ref57760624 \w \h  \* MERGEFORMAT </w:instrText>
      </w:r>
      <w:r w:rsidRPr="007C3C96">
        <w:rPr>
          <w:sz w:val="22"/>
          <w:szCs w:val="22"/>
        </w:rPr>
      </w:r>
      <w:r w:rsidRPr="007C3C96">
        <w:rPr>
          <w:sz w:val="22"/>
          <w:szCs w:val="22"/>
        </w:rPr>
        <w:fldChar w:fldCharType="separate"/>
      </w:r>
      <w:r w:rsidR="001076AF">
        <w:rPr>
          <w:sz w:val="22"/>
          <w:szCs w:val="22"/>
        </w:rPr>
        <w:t>5.1</w:t>
      </w:r>
      <w:r w:rsidRPr="007C3C96">
        <w:rPr>
          <w:sz w:val="22"/>
          <w:szCs w:val="22"/>
        </w:rPr>
        <w:fldChar w:fldCharType="end"/>
      </w:r>
      <w:r w:rsidRPr="007C3C96">
        <w:rPr>
          <w:sz w:val="22"/>
          <w:szCs w:val="22"/>
        </w:rPr>
        <w:t>. smlouvy</w:t>
      </w:r>
      <w:proofErr w:type="gramEnd"/>
      <w:r w:rsidRPr="007C3C96">
        <w:rPr>
          <w:sz w:val="22"/>
          <w:szCs w:val="22"/>
        </w:rPr>
        <w:t>;</w:t>
      </w:r>
    </w:p>
    <w:p w14:paraId="01952707" w14:textId="4CB113E2" w:rsidR="00A84A37" w:rsidRPr="007C3C96" w:rsidRDefault="00A84A37" w:rsidP="00A84A37">
      <w:pPr>
        <w:pStyle w:val="rove3"/>
        <w:numPr>
          <w:ilvl w:val="3"/>
          <w:numId w:val="1"/>
        </w:numPr>
        <w:ind w:left="993"/>
        <w:rPr>
          <w:sz w:val="22"/>
          <w:szCs w:val="22"/>
        </w:rPr>
      </w:pPr>
      <w:r w:rsidRPr="007C3C96">
        <w:rPr>
          <w:sz w:val="22"/>
          <w:szCs w:val="22"/>
        </w:rPr>
        <w:t xml:space="preserve">zpracování rozhodnutí o námitkách zadavatele je součástí smluvní odměny podle </w:t>
      </w:r>
      <w:proofErr w:type="gramStart"/>
      <w:r w:rsidRPr="007C3C96">
        <w:rPr>
          <w:sz w:val="22"/>
          <w:szCs w:val="22"/>
        </w:rPr>
        <w:t xml:space="preserve">čl. </w:t>
      </w:r>
      <w:r w:rsidRPr="007C3C96">
        <w:rPr>
          <w:sz w:val="22"/>
          <w:szCs w:val="22"/>
        </w:rPr>
        <w:fldChar w:fldCharType="begin"/>
      </w:r>
      <w:r w:rsidRPr="007C3C96">
        <w:rPr>
          <w:sz w:val="22"/>
          <w:szCs w:val="22"/>
        </w:rPr>
        <w:instrText xml:space="preserve"> REF _Ref57760624 \w \h  \* MERGEFORMAT </w:instrText>
      </w:r>
      <w:r w:rsidRPr="007C3C96">
        <w:rPr>
          <w:sz w:val="22"/>
          <w:szCs w:val="22"/>
        </w:rPr>
      </w:r>
      <w:r w:rsidRPr="007C3C96">
        <w:rPr>
          <w:sz w:val="22"/>
          <w:szCs w:val="22"/>
        </w:rPr>
        <w:fldChar w:fldCharType="separate"/>
      </w:r>
      <w:r w:rsidR="001076AF">
        <w:rPr>
          <w:sz w:val="22"/>
          <w:szCs w:val="22"/>
        </w:rPr>
        <w:t>5.1</w:t>
      </w:r>
      <w:r w:rsidRPr="007C3C96">
        <w:rPr>
          <w:sz w:val="22"/>
          <w:szCs w:val="22"/>
        </w:rPr>
        <w:fldChar w:fldCharType="end"/>
      </w:r>
      <w:r w:rsidRPr="007C3C96">
        <w:rPr>
          <w:sz w:val="22"/>
          <w:szCs w:val="22"/>
        </w:rPr>
        <w:t>. smlouvy</w:t>
      </w:r>
      <w:proofErr w:type="gramEnd"/>
      <w:r w:rsidRPr="007C3C96">
        <w:rPr>
          <w:sz w:val="22"/>
          <w:szCs w:val="22"/>
        </w:rPr>
        <w:t>;</w:t>
      </w:r>
    </w:p>
    <w:p w14:paraId="5206F55C" w14:textId="72C06E12" w:rsidR="00A84A37" w:rsidRPr="007768AC" w:rsidRDefault="00A84A37" w:rsidP="00A84A37">
      <w:pPr>
        <w:pStyle w:val="rove3"/>
        <w:numPr>
          <w:ilvl w:val="3"/>
          <w:numId w:val="1"/>
        </w:numPr>
        <w:ind w:left="993"/>
        <w:rPr>
          <w:sz w:val="22"/>
          <w:szCs w:val="22"/>
        </w:rPr>
      </w:pPr>
      <w:r w:rsidRPr="007768AC">
        <w:rPr>
          <w:sz w:val="22"/>
          <w:szCs w:val="22"/>
        </w:rPr>
        <w:t xml:space="preserve">zastupování příkazce v řízení před Úřadem pro ochranu hospodářské soutěže </w:t>
      </w:r>
      <w:r w:rsidR="001076AF" w:rsidRPr="00244937">
        <w:rPr>
          <w:sz w:val="22"/>
          <w:szCs w:val="22"/>
        </w:rPr>
        <w:t xml:space="preserve">je </w:t>
      </w:r>
      <w:r w:rsidRPr="007768AC">
        <w:rPr>
          <w:sz w:val="22"/>
          <w:szCs w:val="22"/>
        </w:rPr>
        <w:t xml:space="preserve">součástí smluvní odměny podle </w:t>
      </w:r>
      <w:proofErr w:type="gramStart"/>
      <w:r w:rsidRPr="007768AC">
        <w:rPr>
          <w:sz w:val="22"/>
          <w:szCs w:val="22"/>
        </w:rPr>
        <w:t xml:space="preserve">čl. </w:t>
      </w:r>
      <w:r w:rsidRPr="007768AC">
        <w:rPr>
          <w:sz w:val="22"/>
          <w:szCs w:val="22"/>
        </w:rPr>
        <w:fldChar w:fldCharType="begin"/>
      </w:r>
      <w:r w:rsidRPr="007768AC">
        <w:rPr>
          <w:sz w:val="22"/>
          <w:szCs w:val="22"/>
        </w:rPr>
        <w:instrText xml:space="preserve"> REF _Ref57760624 \w \h  \* MERGEFORMAT </w:instrText>
      </w:r>
      <w:r w:rsidRPr="007768AC">
        <w:rPr>
          <w:sz w:val="22"/>
          <w:szCs w:val="22"/>
        </w:rPr>
      </w:r>
      <w:r w:rsidRPr="007768AC">
        <w:rPr>
          <w:sz w:val="22"/>
          <w:szCs w:val="22"/>
        </w:rPr>
        <w:fldChar w:fldCharType="separate"/>
      </w:r>
      <w:r w:rsidR="001076AF" w:rsidRPr="00244937">
        <w:rPr>
          <w:sz w:val="22"/>
          <w:szCs w:val="22"/>
        </w:rPr>
        <w:t>5.1</w:t>
      </w:r>
      <w:r w:rsidRPr="007768AC">
        <w:rPr>
          <w:sz w:val="22"/>
          <w:szCs w:val="22"/>
        </w:rPr>
        <w:fldChar w:fldCharType="end"/>
      </w:r>
      <w:r w:rsidRPr="007768AC">
        <w:rPr>
          <w:sz w:val="22"/>
          <w:szCs w:val="22"/>
        </w:rPr>
        <w:t>. smlouvy</w:t>
      </w:r>
      <w:proofErr w:type="gramEnd"/>
      <w:r w:rsidRPr="007768AC">
        <w:rPr>
          <w:sz w:val="22"/>
          <w:szCs w:val="22"/>
        </w:rPr>
        <w:t>;</w:t>
      </w:r>
    </w:p>
    <w:p w14:paraId="3C75E52D" w14:textId="63FAD2FA" w:rsidR="00A84A37" w:rsidRPr="007C3C96" w:rsidRDefault="00A84A37" w:rsidP="00A84A37">
      <w:pPr>
        <w:pStyle w:val="rove3"/>
        <w:numPr>
          <w:ilvl w:val="3"/>
          <w:numId w:val="1"/>
        </w:numPr>
        <w:ind w:left="993"/>
        <w:rPr>
          <w:sz w:val="22"/>
          <w:szCs w:val="22"/>
        </w:rPr>
      </w:pPr>
      <w:r w:rsidRPr="007C3C96">
        <w:rPr>
          <w:sz w:val="22"/>
          <w:szCs w:val="22"/>
        </w:rPr>
        <w:t xml:space="preserve">součinnost při zpracování odpovědí k připomínkám či dotazům poskytovatele dotace k řízení je součástí smluvní odměny podle </w:t>
      </w:r>
      <w:proofErr w:type="gramStart"/>
      <w:r w:rsidRPr="007C3C96">
        <w:rPr>
          <w:sz w:val="22"/>
          <w:szCs w:val="22"/>
        </w:rPr>
        <w:t xml:space="preserve">čl. </w:t>
      </w:r>
      <w:r w:rsidRPr="007C3C96">
        <w:rPr>
          <w:sz w:val="22"/>
          <w:szCs w:val="22"/>
        </w:rPr>
        <w:fldChar w:fldCharType="begin"/>
      </w:r>
      <w:r w:rsidRPr="007C3C96">
        <w:rPr>
          <w:sz w:val="22"/>
          <w:szCs w:val="22"/>
        </w:rPr>
        <w:instrText xml:space="preserve"> REF _Ref57760624 \w \h  \* MERGEFORMAT </w:instrText>
      </w:r>
      <w:r w:rsidRPr="007C3C96">
        <w:rPr>
          <w:sz w:val="22"/>
          <w:szCs w:val="22"/>
        </w:rPr>
      </w:r>
      <w:r w:rsidRPr="007C3C96">
        <w:rPr>
          <w:sz w:val="22"/>
          <w:szCs w:val="22"/>
        </w:rPr>
        <w:fldChar w:fldCharType="separate"/>
      </w:r>
      <w:r w:rsidR="001076AF">
        <w:rPr>
          <w:sz w:val="22"/>
          <w:szCs w:val="22"/>
        </w:rPr>
        <w:t>5.1</w:t>
      </w:r>
      <w:r w:rsidRPr="007C3C96">
        <w:rPr>
          <w:sz w:val="22"/>
          <w:szCs w:val="22"/>
        </w:rPr>
        <w:fldChar w:fldCharType="end"/>
      </w:r>
      <w:r w:rsidRPr="007C3C96">
        <w:rPr>
          <w:sz w:val="22"/>
          <w:szCs w:val="22"/>
        </w:rPr>
        <w:t>. smlouvy</w:t>
      </w:r>
      <w:proofErr w:type="gramEnd"/>
      <w:r w:rsidRPr="007C3C96">
        <w:rPr>
          <w:sz w:val="22"/>
          <w:szCs w:val="22"/>
        </w:rPr>
        <w:t>.</w:t>
      </w:r>
    </w:p>
    <w:p w14:paraId="367292F9" w14:textId="77777777" w:rsidR="00A84A37" w:rsidRPr="007C3C96" w:rsidRDefault="00A84A37" w:rsidP="00A84A37">
      <w:pPr>
        <w:pStyle w:val="rove1"/>
        <w:rPr>
          <w:sz w:val="22"/>
          <w:szCs w:val="22"/>
        </w:rPr>
      </w:pPr>
      <w:r w:rsidRPr="007C3C96">
        <w:rPr>
          <w:sz w:val="22"/>
          <w:szCs w:val="22"/>
        </w:rPr>
        <w:t>Příkazn</w:t>
      </w:r>
      <w:r w:rsidRPr="007C3C96">
        <w:rPr>
          <w:rStyle w:val="rove1Char"/>
          <w:sz w:val="22"/>
          <w:szCs w:val="22"/>
        </w:rPr>
        <w:t>í</w:t>
      </w:r>
      <w:r w:rsidRPr="007C3C96">
        <w:rPr>
          <w:sz w:val="22"/>
          <w:szCs w:val="22"/>
        </w:rPr>
        <w:t>k je plátce DPH. DPH bude vyúčtována podle aktuální sazby DPH ke dni uskutečnění zdanitelného plnění.</w:t>
      </w:r>
    </w:p>
    <w:p w14:paraId="647D34BE" w14:textId="77777777" w:rsidR="00A84A37" w:rsidRPr="00AB76D1" w:rsidRDefault="00A84A37" w:rsidP="00A84A37">
      <w:pPr>
        <w:pStyle w:val="rove1"/>
        <w:rPr>
          <w:sz w:val="22"/>
          <w:szCs w:val="22"/>
        </w:rPr>
      </w:pPr>
      <w:bookmarkStart w:id="7" w:name="_Ref57817860"/>
      <w:r w:rsidRPr="007C3C96">
        <w:rPr>
          <w:sz w:val="22"/>
          <w:szCs w:val="22"/>
        </w:rPr>
        <w:t>Příkazník je oprávněn fakturovat</w:t>
      </w:r>
      <w:r w:rsidRPr="00AB76D1">
        <w:rPr>
          <w:sz w:val="22"/>
          <w:szCs w:val="22"/>
        </w:rPr>
        <w:t xml:space="preserve"> příkazci odměny podle smlouvy následujícím způsobem:</w:t>
      </w:r>
      <w:bookmarkEnd w:id="7"/>
    </w:p>
    <w:p w14:paraId="325D5882" w14:textId="62C5BF41" w:rsidR="00A84A37" w:rsidRPr="005577A9" w:rsidRDefault="00A84A37" w:rsidP="00A84A37">
      <w:pPr>
        <w:pStyle w:val="rove3"/>
        <w:numPr>
          <w:ilvl w:val="3"/>
          <w:numId w:val="2"/>
        </w:numPr>
        <w:rPr>
          <w:sz w:val="22"/>
          <w:szCs w:val="22"/>
        </w:rPr>
      </w:pPr>
      <w:bookmarkStart w:id="8" w:name="_Ref57760882"/>
      <w:r w:rsidRPr="005577A9">
        <w:rPr>
          <w:sz w:val="22"/>
          <w:szCs w:val="22"/>
        </w:rPr>
        <w:t xml:space="preserve">30 % z celkové výše smluvní odměny podle </w:t>
      </w:r>
      <w:proofErr w:type="gramStart"/>
      <w:r w:rsidRPr="005577A9">
        <w:rPr>
          <w:sz w:val="22"/>
          <w:szCs w:val="22"/>
        </w:rPr>
        <w:t xml:space="preserve">čl. </w:t>
      </w:r>
      <w:r w:rsidRPr="00244937">
        <w:rPr>
          <w:sz w:val="22"/>
          <w:szCs w:val="22"/>
        </w:rPr>
        <w:fldChar w:fldCharType="begin"/>
      </w:r>
      <w:r w:rsidRPr="005577A9">
        <w:rPr>
          <w:sz w:val="22"/>
          <w:szCs w:val="22"/>
        </w:rPr>
        <w:instrText xml:space="preserve"> REF _Ref57760624 \w \h  \* MERGEFORMAT </w:instrText>
      </w:r>
      <w:r w:rsidRPr="00244937">
        <w:rPr>
          <w:sz w:val="22"/>
          <w:szCs w:val="22"/>
        </w:rPr>
      </w:r>
      <w:r w:rsidRPr="00244937">
        <w:rPr>
          <w:sz w:val="22"/>
          <w:szCs w:val="22"/>
        </w:rPr>
        <w:fldChar w:fldCharType="separate"/>
      </w:r>
      <w:r w:rsidR="001076AF" w:rsidRPr="00244937">
        <w:rPr>
          <w:sz w:val="22"/>
          <w:szCs w:val="22"/>
        </w:rPr>
        <w:t>5.1</w:t>
      </w:r>
      <w:r w:rsidRPr="00244937">
        <w:rPr>
          <w:sz w:val="22"/>
          <w:szCs w:val="22"/>
        </w:rPr>
        <w:fldChar w:fldCharType="end"/>
      </w:r>
      <w:r w:rsidRPr="005577A9">
        <w:rPr>
          <w:sz w:val="22"/>
          <w:szCs w:val="22"/>
        </w:rPr>
        <w:t>. ke</w:t>
      </w:r>
      <w:proofErr w:type="gramEnd"/>
      <w:r w:rsidRPr="005577A9">
        <w:rPr>
          <w:sz w:val="22"/>
          <w:szCs w:val="22"/>
        </w:rPr>
        <w:t xml:space="preserve"> dni zahájení řízení;</w:t>
      </w:r>
      <w:bookmarkEnd w:id="8"/>
    </w:p>
    <w:p w14:paraId="421933E4" w14:textId="77777777" w:rsidR="00A84A37" w:rsidRPr="005577A9" w:rsidRDefault="00A84A37" w:rsidP="00A84A37">
      <w:pPr>
        <w:pStyle w:val="rove3"/>
        <w:numPr>
          <w:ilvl w:val="3"/>
          <w:numId w:val="2"/>
        </w:numPr>
        <w:rPr>
          <w:sz w:val="22"/>
          <w:szCs w:val="22"/>
        </w:rPr>
      </w:pPr>
      <w:r w:rsidRPr="005577A9">
        <w:rPr>
          <w:sz w:val="22"/>
          <w:szCs w:val="22"/>
        </w:rPr>
        <w:t xml:space="preserve">50 % z celkové výše smluvní odměny podle čl. </w:t>
      </w:r>
      <w:proofErr w:type="gramStart"/>
      <w:r w:rsidRPr="005577A9">
        <w:rPr>
          <w:sz w:val="22"/>
          <w:szCs w:val="22"/>
        </w:rPr>
        <w:t>5.1. ke</w:t>
      </w:r>
      <w:proofErr w:type="gramEnd"/>
      <w:r w:rsidRPr="005577A9">
        <w:rPr>
          <w:sz w:val="22"/>
          <w:szCs w:val="22"/>
        </w:rPr>
        <w:t xml:space="preserve"> dni rozhodnutí o výběru nejvhodnější nabídky dodavatele;</w:t>
      </w:r>
    </w:p>
    <w:p w14:paraId="5BE8824D" w14:textId="758EBC2C" w:rsidR="00A84A37" w:rsidRPr="005577A9" w:rsidRDefault="00A84A37" w:rsidP="00A84A37">
      <w:pPr>
        <w:pStyle w:val="rove3"/>
        <w:numPr>
          <w:ilvl w:val="3"/>
          <w:numId w:val="2"/>
        </w:numPr>
        <w:rPr>
          <w:sz w:val="22"/>
          <w:szCs w:val="22"/>
        </w:rPr>
      </w:pPr>
      <w:r w:rsidRPr="005577A9">
        <w:rPr>
          <w:sz w:val="22"/>
          <w:szCs w:val="22"/>
        </w:rPr>
        <w:t xml:space="preserve">20 % z celkové výše smluvní odměny podle </w:t>
      </w:r>
      <w:proofErr w:type="gramStart"/>
      <w:r w:rsidRPr="005577A9">
        <w:rPr>
          <w:sz w:val="22"/>
          <w:szCs w:val="22"/>
        </w:rPr>
        <w:t xml:space="preserve">čl. </w:t>
      </w:r>
      <w:r w:rsidRPr="00244937">
        <w:rPr>
          <w:sz w:val="22"/>
          <w:szCs w:val="22"/>
        </w:rPr>
        <w:fldChar w:fldCharType="begin"/>
      </w:r>
      <w:r w:rsidRPr="005577A9">
        <w:rPr>
          <w:sz w:val="22"/>
          <w:szCs w:val="22"/>
        </w:rPr>
        <w:instrText xml:space="preserve"> REF _Ref57760624 \w \h  \* MERGEFORMAT </w:instrText>
      </w:r>
      <w:r w:rsidRPr="00244937">
        <w:rPr>
          <w:sz w:val="22"/>
          <w:szCs w:val="22"/>
        </w:rPr>
      </w:r>
      <w:r w:rsidRPr="00244937">
        <w:rPr>
          <w:sz w:val="22"/>
          <w:szCs w:val="22"/>
        </w:rPr>
        <w:fldChar w:fldCharType="separate"/>
      </w:r>
      <w:r w:rsidR="001076AF" w:rsidRPr="00244937">
        <w:rPr>
          <w:sz w:val="22"/>
          <w:szCs w:val="22"/>
        </w:rPr>
        <w:t>5.1</w:t>
      </w:r>
      <w:r w:rsidRPr="00244937">
        <w:rPr>
          <w:sz w:val="22"/>
          <w:szCs w:val="22"/>
        </w:rPr>
        <w:fldChar w:fldCharType="end"/>
      </w:r>
      <w:r w:rsidRPr="005577A9">
        <w:rPr>
          <w:sz w:val="22"/>
          <w:szCs w:val="22"/>
        </w:rPr>
        <w:t>. ke</w:t>
      </w:r>
      <w:proofErr w:type="gramEnd"/>
      <w:r w:rsidRPr="005577A9">
        <w:rPr>
          <w:sz w:val="22"/>
          <w:szCs w:val="22"/>
        </w:rPr>
        <w:t xml:space="preserve"> dni předání kompletní dokumentace o řízení k archivaci příkazci.</w:t>
      </w:r>
    </w:p>
    <w:p w14:paraId="01DBA0F6" w14:textId="7FD5D50C" w:rsidR="00A84A37" w:rsidRPr="005577A9" w:rsidRDefault="00A84A37" w:rsidP="00A84A37">
      <w:pPr>
        <w:pStyle w:val="rove1"/>
        <w:rPr>
          <w:sz w:val="22"/>
          <w:szCs w:val="22"/>
        </w:rPr>
      </w:pPr>
      <w:r w:rsidRPr="005577A9">
        <w:rPr>
          <w:sz w:val="22"/>
          <w:szCs w:val="22"/>
        </w:rPr>
        <w:t xml:space="preserve">V případě zrušení řízení náleží za administraci zrušeného řízení místo celé odměny podle </w:t>
      </w:r>
      <w:proofErr w:type="gramStart"/>
      <w:r w:rsidRPr="005577A9">
        <w:rPr>
          <w:sz w:val="22"/>
          <w:szCs w:val="22"/>
        </w:rPr>
        <w:t xml:space="preserve">čl. </w:t>
      </w:r>
      <w:r w:rsidRPr="00244937">
        <w:rPr>
          <w:sz w:val="22"/>
          <w:szCs w:val="22"/>
        </w:rPr>
        <w:fldChar w:fldCharType="begin"/>
      </w:r>
      <w:r w:rsidRPr="005577A9">
        <w:rPr>
          <w:sz w:val="22"/>
          <w:szCs w:val="22"/>
        </w:rPr>
        <w:instrText xml:space="preserve"> REF _Ref57760624 \w \h  \* MERGEFORMAT </w:instrText>
      </w:r>
      <w:r w:rsidRPr="00244937">
        <w:rPr>
          <w:sz w:val="22"/>
          <w:szCs w:val="22"/>
        </w:rPr>
      </w:r>
      <w:r w:rsidRPr="00244937">
        <w:rPr>
          <w:sz w:val="22"/>
          <w:szCs w:val="22"/>
        </w:rPr>
        <w:fldChar w:fldCharType="separate"/>
      </w:r>
      <w:r w:rsidR="001076AF" w:rsidRPr="00244937">
        <w:rPr>
          <w:sz w:val="22"/>
          <w:szCs w:val="22"/>
        </w:rPr>
        <w:t>5.1</w:t>
      </w:r>
      <w:r w:rsidRPr="00244937">
        <w:rPr>
          <w:sz w:val="22"/>
          <w:szCs w:val="22"/>
        </w:rPr>
        <w:fldChar w:fldCharType="end"/>
      </w:r>
      <w:r w:rsidRPr="005577A9">
        <w:rPr>
          <w:sz w:val="22"/>
          <w:szCs w:val="22"/>
        </w:rPr>
        <w:t>. odměna</w:t>
      </w:r>
      <w:proofErr w:type="gramEnd"/>
      <w:r w:rsidRPr="005577A9">
        <w:rPr>
          <w:sz w:val="22"/>
          <w:szCs w:val="22"/>
        </w:rPr>
        <w:t xml:space="preserve"> následující:</w:t>
      </w:r>
    </w:p>
    <w:p w14:paraId="61BAC0CD" w14:textId="495B314F" w:rsidR="00A84A37" w:rsidRPr="005577A9" w:rsidRDefault="00A84A37" w:rsidP="00A84A37">
      <w:pPr>
        <w:pStyle w:val="rove1"/>
        <w:numPr>
          <w:ilvl w:val="2"/>
          <w:numId w:val="3"/>
        </w:numPr>
        <w:ind w:left="851" w:hanging="283"/>
        <w:rPr>
          <w:sz w:val="22"/>
          <w:szCs w:val="22"/>
        </w:rPr>
      </w:pPr>
      <w:r w:rsidRPr="005577A9">
        <w:rPr>
          <w:sz w:val="22"/>
          <w:szCs w:val="22"/>
        </w:rPr>
        <w:t xml:space="preserve">40 % z celkové výše smluvní odměny podle </w:t>
      </w:r>
      <w:proofErr w:type="gramStart"/>
      <w:r w:rsidRPr="005577A9">
        <w:rPr>
          <w:sz w:val="22"/>
          <w:szCs w:val="22"/>
        </w:rPr>
        <w:t xml:space="preserve">čl. </w:t>
      </w:r>
      <w:r w:rsidRPr="00244937">
        <w:rPr>
          <w:sz w:val="22"/>
          <w:szCs w:val="22"/>
        </w:rPr>
        <w:fldChar w:fldCharType="begin"/>
      </w:r>
      <w:r w:rsidRPr="005577A9">
        <w:rPr>
          <w:sz w:val="22"/>
          <w:szCs w:val="22"/>
        </w:rPr>
        <w:instrText xml:space="preserve"> REF _Ref57760624 \w \h  \* MERGEFORMAT </w:instrText>
      </w:r>
      <w:r w:rsidRPr="00244937">
        <w:rPr>
          <w:sz w:val="22"/>
          <w:szCs w:val="22"/>
        </w:rPr>
      </w:r>
      <w:r w:rsidRPr="00244937">
        <w:rPr>
          <w:sz w:val="22"/>
          <w:szCs w:val="22"/>
        </w:rPr>
        <w:fldChar w:fldCharType="separate"/>
      </w:r>
      <w:r w:rsidR="001076AF" w:rsidRPr="00244937">
        <w:rPr>
          <w:sz w:val="22"/>
          <w:szCs w:val="22"/>
        </w:rPr>
        <w:t>5.1</w:t>
      </w:r>
      <w:r w:rsidRPr="00244937">
        <w:rPr>
          <w:sz w:val="22"/>
          <w:szCs w:val="22"/>
        </w:rPr>
        <w:fldChar w:fldCharType="end"/>
      </w:r>
      <w:r w:rsidRPr="005577A9">
        <w:rPr>
          <w:sz w:val="22"/>
          <w:szCs w:val="22"/>
        </w:rPr>
        <w:t>. v případě</w:t>
      </w:r>
      <w:proofErr w:type="gramEnd"/>
      <w:r w:rsidRPr="005577A9">
        <w:rPr>
          <w:sz w:val="22"/>
          <w:szCs w:val="22"/>
        </w:rPr>
        <w:t xml:space="preserve"> zrušení řízení před koncem lhůty pro podání nabídek nebo po konci lhůty v případě zrušení řízení z důvodu nepodání žádné nabídky;</w:t>
      </w:r>
    </w:p>
    <w:p w14:paraId="54836498" w14:textId="79A92605" w:rsidR="00A84A37" w:rsidRPr="005577A9" w:rsidRDefault="00B0383D" w:rsidP="00A84A37">
      <w:pPr>
        <w:pStyle w:val="rove1"/>
        <w:numPr>
          <w:ilvl w:val="2"/>
          <w:numId w:val="3"/>
        </w:numPr>
        <w:ind w:left="851" w:hanging="283"/>
        <w:rPr>
          <w:sz w:val="22"/>
          <w:szCs w:val="22"/>
        </w:rPr>
      </w:pPr>
      <w:r>
        <w:rPr>
          <w:sz w:val="22"/>
          <w:szCs w:val="22"/>
        </w:rPr>
        <w:t>75</w:t>
      </w:r>
      <w:r w:rsidR="00A84A37" w:rsidRPr="005577A9">
        <w:rPr>
          <w:sz w:val="22"/>
          <w:szCs w:val="22"/>
        </w:rPr>
        <w:t xml:space="preserve"> % z celkové výše smluvní odměny podle </w:t>
      </w:r>
      <w:proofErr w:type="gramStart"/>
      <w:r w:rsidR="00A84A37" w:rsidRPr="005577A9">
        <w:rPr>
          <w:sz w:val="22"/>
          <w:szCs w:val="22"/>
        </w:rPr>
        <w:t xml:space="preserve">čl. </w:t>
      </w:r>
      <w:r w:rsidR="00A84A37" w:rsidRPr="00244937">
        <w:rPr>
          <w:sz w:val="22"/>
          <w:szCs w:val="22"/>
        </w:rPr>
        <w:fldChar w:fldCharType="begin"/>
      </w:r>
      <w:r w:rsidR="00A84A37" w:rsidRPr="005577A9">
        <w:rPr>
          <w:sz w:val="22"/>
          <w:szCs w:val="22"/>
        </w:rPr>
        <w:instrText xml:space="preserve"> REF _Ref57760624 \w \h  \* MERGEFORMAT </w:instrText>
      </w:r>
      <w:r w:rsidR="00A84A37" w:rsidRPr="00244937">
        <w:rPr>
          <w:sz w:val="22"/>
          <w:szCs w:val="22"/>
        </w:rPr>
      </w:r>
      <w:r w:rsidR="00A84A37" w:rsidRPr="00244937">
        <w:rPr>
          <w:sz w:val="22"/>
          <w:szCs w:val="22"/>
        </w:rPr>
        <w:fldChar w:fldCharType="separate"/>
      </w:r>
      <w:r w:rsidR="001076AF" w:rsidRPr="00244937">
        <w:rPr>
          <w:sz w:val="22"/>
          <w:szCs w:val="22"/>
        </w:rPr>
        <w:t>5.1</w:t>
      </w:r>
      <w:r w:rsidR="00A84A37" w:rsidRPr="00244937">
        <w:rPr>
          <w:sz w:val="22"/>
          <w:szCs w:val="22"/>
        </w:rPr>
        <w:fldChar w:fldCharType="end"/>
      </w:r>
      <w:r w:rsidR="00A84A37" w:rsidRPr="005577A9">
        <w:rPr>
          <w:sz w:val="22"/>
          <w:szCs w:val="22"/>
        </w:rPr>
        <w:t>. v případě</w:t>
      </w:r>
      <w:proofErr w:type="gramEnd"/>
      <w:r w:rsidR="00A84A37" w:rsidRPr="005577A9">
        <w:rPr>
          <w:sz w:val="22"/>
          <w:szCs w:val="22"/>
        </w:rPr>
        <w:t xml:space="preserve"> zrušení řízení po konci lhůty pro podání nabídek (vyjma případu podle písm. a) tohoto odstavce);</w:t>
      </w:r>
    </w:p>
    <w:p w14:paraId="4FB7102E" w14:textId="6BC1D3C5" w:rsidR="00A84A37" w:rsidRPr="005577A9" w:rsidRDefault="00B0383D" w:rsidP="00A84A37">
      <w:pPr>
        <w:pStyle w:val="rove1"/>
        <w:numPr>
          <w:ilvl w:val="2"/>
          <w:numId w:val="3"/>
        </w:numPr>
        <w:ind w:left="851" w:hanging="283"/>
        <w:rPr>
          <w:sz w:val="22"/>
          <w:szCs w:val="22"/>
        </w:rPr>
      </w:pPr>
      <w:r>
        <w:rPr>
          <w:sz w:val="22"/>
          <w:szCs w:val="22"/>
        </w:rPr>
        <w:t>90</w:t>
      </w:r>
      <w:r w:rsidR="00A84A37" w:rsidRPr="005577A9">
        <w:rPr>
          <w:sz w:val="22"/>
          <w:szCs w:val="22"/>
        </w:rPr>
        <w:t xml:space="preserve"> % z celkové výše smluvní odměny podle </w:t>
      </w:r>
      <w:proofErr w:type="gramStart"/>
      <w:r w:rsidR="00A84A37" w:rsidRPr="005577A9">
        <w:rPr>
          <w:sz w:val="22"/>
          <w:szCs w:val="22"/>
        </w:rPr>
        <w:t xml:space="preserve">čl. </w:t>
      </w:r>
      <w:r w:rsidR="00A84A37" w:rsidRPr="00244937">
        <w:rPr>
          <w:sz w:val="22"/>
          <w:szCs w:val="22"/>
        </w:rPr>
        <w:fldChar w:fldCharType="begin"/>
      </w:r>
      <w:r w:rsidR="00A84A37" w:rsidRPr="005577A9">
        <w:rPr>
          <w:sz w:val="22"/>
          <w:szCs w:val="22"/>
        </w:rPr>
        <w:instrText xml:space="preserve"> REF _Ref57760624 \w \h  \* MERGEFORMAT </w:instrText>
      </w:r>
      <w:r w:rsidR="00A84A37" w:rsidRPr="00244937">
        <w:rPr>
          <w:sz w:val="22"/>
          <w:szCs w:val="22"/>
        </w:rPr>
      </w:r>
      <w:r w:rsidR="00A84A37" w:rsidRPr="00244937">
        <w:rPr>
          <w:sz w:val="22"/>
          <w:szCs w:val="22"/>
        </w:rPr>
        <w:fldChar w:fldCharType="separate"/>
      </w:r>
      <w:r w:rsidR="001076AF" w:rsidRPr="00244937">
        <w:rPr>
          <w:sz w:val="22"/>
          <w:szCs w:val="22"/>
        </w:rPr>
        <w:t>5.1</w:t>
      </w:r>
      <w:r w:rsidR="00A84A37" w:rsidRPr="00244937">
        <w:rPr>
          <w:sz w:val="22"/>
          <w:szCs w:val="22"/>
        </w:rPr>
        <w:fldChar w:fldCharType="end"/>
      </w:r>
      <w:r w:rsidR="00A84A37" w:rsidRPr="005577A9">
        <w:rPr>
          <w:sz w:val="22"/>
          <w:szCs w:val="22"/>
        </w:rPr>
        <w:t>. v případě</w:t>
      </w:r>
      <w:proofErr w:type="gramEnd"/>
      <w:r w:rsidR="00A84A37" w:rsidRPr="005577A9">
        <w:rPr>
          <w:sz w:val="22"/>
          <w:szCs w:val="22"/>
        </w:rPr>
        <w:t xml:space="preserve"> zrušení řízení po rozhodnutí o výběru dodavatele.</w:t>
      </w:r>
    </w:p>
    <w:p w14:paraId="3CF4A34E" w14:textId="7BCFD1E9" w:rsidR="00A84A37" w:rsidRPr="005577A9" w:rsidRDefault="00A84A37" w:rsidP="00A84A37">
      <w:pPr>
        <w:pStyle w:val="rove1"/>
        <w:ind w:left="568" w:hanging="568"/>
        <w:rPr>
          <w:sz w:val="22"/>
          <w:szCs w:val="22"/>
        </w:rPr>
      </w:pPr>
      <w:r w:rsidRPr="005577A9">
        <w:rPr>
          <w:sz w:val="22"/>
          <w:szCs w:val="22"/>
        </w:rPr>
        <w:t xml:space="preserve">Rozdíl mezi odměnou podle </w:t>
      </w:r>
      <w:proofErr w:type="gramStart"/>
      <w:r w:rsidRPr="005577A9">
        <w:rPr>
          <w:sz w:val="22"/>
          <w:szCs w:val="22"/>
        </w:rPr>
        <w:t xml:space="preserve">čl. </w:t>
      </w:r>
      <w:r w:rsidRPr="00244937">
        <w:rPr>
          <w:sz w:val="22"/>
          <w:szCs w:val="22"/>
        </w:rPr>
        <w:fldChar w:fldCharType="begin"/>
      </w:r>
      <w:r w:rsidRPr="005577A9">
        <w:rPr>
          <w:sz w:val="22"/>
          <w:szCs w:val="22"/>
        </w:rPr>
        <w:instrText xml:space="preserve"> REF _Ref57817860 \r \h  \* MERGEFORMAT </w:instrText>
      </w:r>
      <w:r w:rsidRPr="00244937">
        <w:rPr>
          <w:sz w:val="22"/>
          <w:szCs w:val="22"/>
        </w:rPr>
      </w:r>
      <w:r w:rsidRPr="00244937">
        <w:rPr>
          <w:sz w:val="22"/>
          <w:szCs w:val="22"/>
        </w:rPr>
        <w:fldChar w:fldCharType="separate"/>
      </w:r>
      <w:r w:rsidR="001076AF" w:rsidRPr="00244937">
        <w:rPr>
          <w:sz w:val="22"/>
          <w:szCs w:val="22"/>
        </w:rPr>
        <w:t>5.5</w:t>
      </w:r>
      <w:r w:rsidRPr="00244937">
        <w:rPr>
          <w:sz w:val="22"/>
          <w:szCs w:val="22"/>
        </w:rPr>
        <w:fldChar w:fldCharType="end"/>
      </w:r>
      <w:r w:rsidRPr="005577A9">
        <w:rPr>
          <w:sz w:val="22"/>
          <w:szCs w:val="22"/>
        </w:rPr>
        <w:t xml:space="preserve"> písm.</w:t>
      </w:r>
      <w:proofErr w:type="gramEnd"/>
      <w:r w:rsidRPr="005577A9">
        <w:rPr>
          <w:sz w:val="22"/>
          <w:szCs w:val="22"/>
        </w:rPr>
        <w:t xml:space="preserve"> </w:t>
      </w:r>
      <w:r w:rsidRPr="00244937">
        <w:rPr>
          <w:sz w:val="22"/>
          <w:szCs w:val="22"/>
        </w:rPr>
        <w:fldChar w:fldCharType="begin"/>
      </w:r>
      <w:r w:rsidRPr="005577A9">
        <w:rPr>
          <w:sz w:val="22"/>
          <w:szCs w:val="22"/>
        </w:rPr>
        <w:instrText xml:space="preserve"> REF _Ref57760882 \r \h  \* MERGEFORMAT </w:instrText>
      </w:r>
      <w:r w:rsidRPr="00244937">
        <w:rPr>
          <w:sz w:val="22"/>
          <w:szCs w:val="22"/>
        </w:rPr>
      </w:r>
      <w:r w:rsidRPr="00244937">
        <w:rPr>
          <w:sz w:val="22"/>
          <w:szCs w:val="22"/>
        </w:rPr>
        <w:fldChar w:fldCharType="separate"/>
      </w:r>
      <w:r w:rsidR="001076AF" w:rsidRPr="00244937">
        <w:rPr>
          <w:sz w:val="22"/>
          <w:szCs w:val="22"/>
        </w:rPr>
        <w:t>a)</w:t>
      </w:r>
      <w:r w:rsidRPr="00244937">
        <w:rPr>
          <w:sz w:val="22"/>
          <w:szCs w:val="22"/>
        </w:rPr>
        <w:fldChar w:fldCharType="end"/>
      </w:r>
      <w:r w:rsidRPr="005577A9">
        <w:rPr>
          <w:sz w:val="22"/>
          <w:szCs w:val="22"/>
        </w:rPr>
        <w:t xml:space="preserve"> smlouvy a odměnou podle tohoto odstavce příkazník vyfakturuje po předání kompletní dokumentace o řízení k archivaci příkazci.</w:t>
      </w:r>
    </w:p>
    <w:p w14:paraId="1029C513" w14:textId="6EB4CC01" w:rsidR="00A84A37" w:rsidRPr="00472DEF" w:rsidRDefault="00A84A37" w:rsidP="00A84A37">
      <w:pPr>
        <w:pStyle w:val="rove1"/>
        <w:rPr>
          <w:sz w:val="22"/>
          <w:szCs w:val="22"/>
        </w:rPr>
      </w:pPr>
      <w:r w:rsidRPr="005577A9">
        <w:rPr>
          <w:sz w:val="22"/>
          <w:szCs w:val="22"/>
        </w:rPr>
        <w:t xml:space="preserve">Pokud dá příkazce po zrušení řízení příkazníkovi pokyn k zahájení opakovaného řízení se stejným předmětem, náleží příkazníkovi za opakované řízení další smluvní odměna </w:t>
      </w:r>
      <w:r w:rsidRPr="00472DEF">
        <w:rPr>
          <w:sz w:val="22"/>
          <w:szCs w:val="22"/>
        </w:rPr>
        <w:t xml:space="preserve">ve výši podle </w:t>
      </w:r>
      <w:proofErr w:type="gramStart"/>
      <w:r w:rsidRPr="00472DEF">
        <w:rPr>
          <w:sz w:val="22"/>
          <w:szCs w:val="22"/>
        </w:rPr>
        <w:t xml:space="preserve">čl. </w:t>
      </w:r>
      <w:r w:rsidRPr="00472DEF">
        <w:rPr>
          <w:sz w:val="22"/>
          <w:szCs w:val="22"/>
        </w:rPr>
        <w:fldChar w:fldCharType="begin"/>
      </w:r>
      <w:r w:rsidRPr="00472DEF">
        <w:rPr>
          <w:sz w:val="22"/>
          <w:szCs w:val="22"/>
        </w:rPr>
        <w:instrText xml:space="preserve"> REF _Ref57760624 \r \h  \* MERGEFORMAT </w:instrText>
      </w:r>
      <w:r w:rsidRPr="00472DEF">
        <w:rPr>
          <w:sz w:val="22"/>
          <w:szCs w:val="22"/>
        </w:rPr>
      </w:r>
      <w:r w:rsidRPr="00472DEF">
        <w:rPr>
          <w:sz w:val="22"/>
          <w:szCs w:val="22"/>
        </w:rPr>
        <w:fldChar w:fldCharType="separate"/>
      </w:r>
      <w:r w:rsidR="001076AF" w:rsidRPr="00472DEF">
        <w:rPr>
          <w:sz w:val="22"/>
          <w:szCs w:val="22"/>
        </w:rPr>
        <w:t>5.1</w:t>
      </w:r>
      <w:r w:rsidRPr="00472DEF">
        <w:rPr>
          <w:sz w:val="22"/>
          <w:szCs w:val="22"/>
        </w:rPr>
        <w:fldChar w:fldCharType="end"/>
      </w:r>
      <w:r w:rsidRPr="00472DEF">
        <w:rPr>
          <w:sz w:val="22"/>
          <w:szCs w:val="22"/>
        </w:rPr>
        <w:t xml:space="preserve"> snížená</w:t>
      </w:r>
      <w:proofErr w:type="gramEnd"/>
      <w:r w:rsidRPr="00472DEF">
        <w:rPr>
          <w:sz w:val="22"/>
          <w:szCs w:val="22"/>
        </w:rPr>
        <w:t xml:space="preserve"> o 20 %.</w:t>
      </w:r>
    </w:p>
    <w:p w14:paraId="2D7A264C" w14:textId="15C67E37" w:rsidR="00A84A37" w:rsidRPr="00472DEF" w:rsidRDefault="00A84A37" w:rsidP="00A84A37">
      <w:pPr>
        <w:pStyle w:val="rove1"/>
        <w:rPr>
          <w:sz w:val="22"/>
          <w:szCs w:val="22"/>
        </w:rPr>
      </w:pPr>
      <w:r w:rsidRPr="00472DEF">
        <w:rPr>
          <w:sz w:val="22"/>
          <w:szCs w:val="22"/>
        </w:rPr>
        <w:t>V případě, že příkazce požádá příkazníka o další poradenství v návaznosti na veřejnou zakázku, které není součástí předmětu plnění podle smlouvy (např. při přípravě dodatků ke smlouvě s vybraným dodavatelem apod</w:t>
      </w:r>
      <w:r w:rsidRPr="00276090">
        <w:rPr>
          <w:sz w:val="22"/>
          <w:szCs w:val="22"/>
        </w:rPr>
        <w:t xml:space="preserve">.), </w:t>
      </w:r>
      <w:r w:rsidR="00287A3F" w:rsidRPr="00276090">
        <w:rPr>
          <w:sz w:val="22"/>
          <w:szCs w:val="22"/>
        </w:rPr>
        <w:t xml:space="preserve">a to na základě </w:t>
      </w:r>
      <w:r w:rsidR="00B0383D" w:rsidRPr="00276090">
        <w:rPr>
          <w:sz w:val="22"/>
          <w:szCs w:val="22"/>
        </w:rPr>
        <w:t xml:space="preserve">písemné </w:t>
      </w:r>
      <w:r w:rsidR="00287A3F" w:rsidRPr="00276090">
        <w:rPr>
          <w:sz w:val="22"/>
          <w:szCs w:val="22"/>
        </w:rPr>
        <w:t xml:space="preserve">objednávky, </w:t>
      </w:r>
      <w:r w:rsidRPr="00472DEF">
        <w:rPr>
          <w:sz w:val="22"/>
          <w:szCs w:val="22"/>
        </w:rPr>
        <w:t>náleží příkazníkovi další odměna ve výši 2</w:t>
      </w:r>
      <w:r w:rsidR="007768AC" w:rsidRPr="00472DEF">
        <w:rPr>
          <w:sz w:val="22"/>
          <w:szCs w:val="22"/>
        </w:rPr>
        <w:t>.</w:t>
      </w:r>
      <w:r w:rsidRPr="00472DEF">
        <w:rPr>
          <w:sz w:val="22"/>
          <w:szCs w:val="22"/>
        </w:rPr>
        <w:t xml:space="preserve">000 Kč bez DPH za každou hodinu poskytnutého poradenství. Příkazník je oprávněn fakturovat odměnu za poradenství podle tohoto odstavce ke konci kalendářního měsíce, ve kterém bylo poradenství poskytnuto. </w:t>
      </w:r>
    </w:p>
    <w:p w14:paraId="421BF485" w14:textId="4161C490" w:rsidR="00A84A37" w:rsidRPr="007C3C96" w:rsidRDefault="00A84A37" w:rsidP="00A84A37">
      <w:pPr>
        <w:pStyle w:val="rove1"/>
        <w:rPr>
          <w:sz w:val="22"/>
          <w:szCs w:val="22"/>
        </w:rPr>
      </w:pPr>
      <w:r w:rsidRPr="007C3C96">
        <w:rPr>
          <w:sz w:val="22"/>
          <w:szCs w:val="22"/>
        </w:rPr>
        <w:t xml:space="preserve">Lhůta splatnosti faktur se sjednává na </w:t>
      </w:r>
      <w:r w:rsidR="007768AC">
        <w:rPr>
          <w:sz w:val="22"/>
          <w:szCs w:val="22"/>
        </w:rPr>
        <w:t>30</w:t>
      </w:r>
      <w:r w:rsidR="007768AC" w:rsidRPr="007C3C96">
        <w:rPr>
          <w:sz w:val="22"/>
          <w:szCs w:val="22"/>
        </w:rPr>
        <w:t xml:space="preserve"> </w:t>
      </w:r>
      <w:r w:rsidRPr="007C3C96">
        <w:rPr>
          <w:sz w:val="22"/>
          <w:szCs w:val="22"/>
        </w:rPr>
        <w:t>kalendářních dní ode dne doručení faktury příkazci. Faktura se doručuje na e-mailovou adresu příkazce</w:t>
      </w:r>
      <w:r w:rsidR="007768AC">
        <w:rPr>
          <w:sz w:val="22"/>
          <w:szCs w:val="22"/>
        </w:rPr>
        <w:t>:</w:t>
      </w:r>
      <w:r w:rsidRPr="007C3C96">
        <w:rPr>
          <w:sz w:val="22"/>
          <w:szCs w:val="22"/>
        </w:rPr>
        <w:t xml:space="preserve"> </w:t>
      </w:r>
      <w:r w:rsidR="007768AC">
        <w:rPr>
          <w:sz w:val="22"/>
          <w:szCs w:val="22"/>
        </w:rPr>
        <w:t>epodatelna</w:t>
      </w:r>
      <w:r w:rsidRPr="007C3C96">
        <w:rPr>
          <w:sz w:val="22"/>
          <w:szCs w:val="22"/>
        </w:rPr>
        <w:t>@trinecko.cz.</w:t>
      </w:r>
    </w:p>
    <w:p w14:paraId="45807406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7C3C96">
        <w:rPr>
          <w:sz w:val="22"/>
          <w:szCs w:val="22"/>
        </w:rPr>
        <w:t>Vystavená faktura</w:t>
      </w:r>
      <w:r w:rsidRPr="00AB76D1">
        <w:rPr>
          <w:sz w:val="22"/>
          <w:szCs w:val="22"/>
        </w:rPr>
        <w:t xml:space="preserve"> bude obsahovat náležitosti účetního dokladu v souladu s příslušnými právními předpisy. V opačném případě je oprávněn příkazce takto vystavenou fakturu vrátit příkazníkovi k opravě. V případě vrácení faktury počíná běžet celá nová lhůta splatnosti faktury po jejím opětovném vystavení a doručení.</w:t>
      </w:r>
    </w:p>
    <w:p w14:paraId="6BEFDE9F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 xml:space="preserve">Smluvní odměna bude uhrazena podle platebních údajů uvedených na faktuře. </w:t>
      </w:r>
    </w:p>
    <w:p w14:paraId="6C3C6ECC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Za skutečné datum provedení úhrady smluvní odměny se považuje den připsání dané částky na účet příkazníka.</w:t>
      </w:r>
    </w:p>
    <w:p w14:paraId="65737DD2" w14:textId="77777777" w:rsidR="00A84A37" w:rsidRPr="00AB76D1" w:rsidRDefault="00A84A37" w:rsidP="00A84A37">
      <w:pPr>
        <w:pStyle w:val="Nzev"/>
        <w:keepNext/>
        <w:numPr>
          <w:ilvl w:val="0"/>
          <w:numId w:val="1"/>
        </w:numPr>
        <w:spacing w:before="240" w:after="240" w:line="276" w:lineRule="auto"/>
        <w:ind w:left="357" w:hanging="357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t xml:space="preserve"> </w:t>
      </w:r>
      <w:r w:rsidRPr="00AB76D1">
        <w:rPr>
          <w:rFonts w:ascii="Arial" w:hAnsi="Arial" w:cs="Arial"/>
          <w:b/>
          <w:bCs/>
          <w:sz w:val="22"/>
          <w:szCs w:val="22"/>
        </w:rPr>
        <w:t>Práva a povinnosti příkazce</w:t>
      </w:r>
    </w:p>
    <w:p w14:paraId="1AAEC8EB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 xml:space="preserve">Příkazce je povinen informovat příkazníka s dostatečným předstihem o všech okolnostech důležitých pro řádné a včasné provedení předmětu smlouvy a poskytovat příkazníkovi potřebnou součinnost. </w:t>
      </w:r>
    </w:p>
    <w:p w14:paraId="3E5E9ADD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Příkazce je povinen příkazníkovi poskytnout veškeré nezbytné informace a podklady pro plnění předmětu smlouvy nebo mu sdělit, kde je možné si tyto informace obstarat. Toto se týká zejména interních pravidel a postupů příkazce, které mají vliv na plnění předmětu smlouvy.</w:t>
      </w:r>
    </w:p>
    <w:p w14:paraId="4E67F2AA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Příkazce je oprávněn kontrolovat průběžné výstupy plnění předmětu smlouvy ze strany příkazníka.</w:t>
      </w:r>
    </w:p>
    <w:p w14:paraId="04D5508F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Příkazce je povinen předat příkazníkovi technické podmínky či technickou specifikaci předmětu veřejné zakázky, není-li jejich stanovení předmětem smlouvy.</w:t>
      </w:r>
    </w:p>
    <w:p w14:paraId="0680278A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 xml:space="preserve">Technické podmínky či technická specifikace předmětu veřejné zakázky (zejm. projektová dokumentace, soupisy stavebních prací, dodávek a služeb s výkazy výměr) nesmí v rozporu s § 89 odst. 5 ZZVZ obsahovat požadavky nebo odkazy na obchodní firmy, názvy nebo jména, specifická označení, které platí pro určitou osobu. </w:t>
      </w:r>
    </w:p>
    <w:p w14:paraId="7D798556" w14:textId="5EBEA3A6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Pokud z důvodů vad příkazcem předaných informací nebo podkladů bude zadání veřejné zakázky zrušeno nebo jinak kontrolním orgánem napadeno, nelze v této souvislosti uplatnit vůči příkazníkovi žádné sankce či nároky na náhradu škody</w:t>
      </w:r>
      <w:r>
        <w:rPr>
          <w:sz w:val="22"/>
          <w:szCs w:val="22"/>
        </w:rPr>
        <w:t xml:space="preserve">; </w:t>
      </w:r>
      <w:r w:rsidRPr="00A84A37">
        <w:rPr>
          <w:sz w:val="22"/>
          <w:szCs w:val="22"/>
        </w:rPr>
        <w:t>toto neplatí v případě, pokud příkazník neupozorní příkazce na nevhodnost nebo vadnost příkazcem předané dokumentace podle tohoto odstavce</w:t>
      </w:r>
      <w:r>
        <w:rPr>
          <w:sz w:val="22"/>
          <w:szCs w:val="22"/>
        </w:rPr>
        <w:t xml:space="preserve"> a vzhledem ke své odbornosti nevhodnost či vadnost pokynu mohl odh</w:t>
      </w:r>
      <w:r w:rsidR="000B3139">
        <w:rPr>
          <w:sz w:val="22"/>
          <w:szCs w:val="22"/>
        </w:rPr>
        <w:t>a</w:t>
      </w:r>
      <w:r>
        <w:rPr>
          <w:sz w:val="22"/>
          <w:szCs w:val="22"/>
        </w:rPr>
        <w:t>lit.</w:t>
      </w:r>
    </w:p>
    <w:p w14:paraId="39FD3AE4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Obdrží-li příkazce jakýkoliv doklad nebo dopis vztahující se k zadání veřejné zakázky, je povinen jej bezodkladně poskytnout příkazníkovi. Pokud tak neučiní, nenese příkazník odpovědnost za prodlení nebo jednání, která jsou s tímto dokumentem spojena.</w:t>
      </w:r>
    </w:p>
    <w:p w14:paraId="42C9000A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Příkazce je povinen:</w:t>
      </w:r>
    </w:p>
    <w:p w14:paraId="341356DA" w14:textId="77777777" w:rsidR="00A84A37" w:rsidRPr="00AB76D1" w:rsidRDefault="00A84A37" w:rsidP="00A84A37">
      <w:pPr>
        <w:pStyle w:val="rove1"/>
        <w:numPr>
          <w:ilvl w:val="2"/>
          <w:numId w:val="5"/>
        </w:numPr>
        <w:ind w:left="851" w:hanging="283"/>
        <w:rPr>
          <w:sz w:val="22"/>
          <w:szCs w:val="22"/>
        </w:rPr>
      </w:pPr>
      <w:r w:rsidRPr="00AB76D1">
        <w:rPr>
          <w:sz w:val="22"/>
          <w:szCs w:val="22"/>
        </w:rPr>
        <w:t>S dostatečným časovým předstihem ustanovit hodnoticí komisi nebo jinou komisi požadovanou ZZVZ, interními předpisy příkazce, či dotačními pravidly v požadovaném počtu členů a jejich náhradníků. Hodnoticí komise musí být schopna posoudit splnění technických podmínek a technické specifikace v nabídkách, pokud takové posouzení nezajistí třetí osoba. Příkazník ani jeho zaměstnanci nebudou jmenováni členy komise, pokud se smluvní strany nedohodnou jinak.</w:t>
      </w:r>
    </w:p>
    <w:p w14:paraId="64F7AD27" w14:textId="77777777" w:rsidR="00A84A37" w:rsidRPr="00AB76D1" w:rsidRDefault="00A84A37" w:rsidP="00A84A37">
      <w:pPr>
        <w:pStyle w:val="rove1"/>
        <w:numPr>
          <w:ilvl w:val="2"/>
          <w:numId w:val="5"/>
        </w:numPr>
        <w:ind w:left="851" w:hanging="283"/>
        <w:rPr>
          <w:sz w:val="22"/>
          <w:szCs w:val="22"/>
        </w:rPr>
      </w:pPr>
      <w:r w:rsidRPr="00AB76D1">
        <w:rPr>
          <w:sz w:val="22"/>
          <w:szCs w:val="22"/>
        </w:rPr>
        <w:t>Na základě pokynu příkazníka zveřejnit jím definované podklady související s řízením na svém profilu zadavatele, a to po celou dobu trvání smlouvy, případně příkazníkovi umožnit přístup do profilu zadavatele (elektronického nástroje) za účelem zveřejnění dokumentů příkazníkem.</w:t>
      </w:r>
    </w:p>
    <w:p w14:paraId="0CBAA7B5" w14:textId="77777777" w:rsidR="00A84A37" w:rsidRPr="00AB76D1" w:rsidRDefault="00A84A37" w:rsidP="00A84A37">
      <w:pPr>
        <w:pStyle w:val="rove1"/>
        <w:numPr>
          <w:ilvl w:val="2"/>
          <w:numId w:val="5"/>
        </w:numPr>
        <w:ind w:left="851" w:hanging="283"/>
        <w:rPr>
          <w:sz w:val="22"/>
          <w:szCs w:val="22"/>
        </w:rPr>
      </w:pPr>
      <w:r w:rsidRPr="00AB76D1">
        <w:rPr>
          <w:sz w:val="22"/>
          <w:szCs w:val="22"/>
        </w:rPr>
        <w:t>Písemně informovat příkazníka o tom, že byla podepsána příslušná smlouva s vybraným dodavatelem, a to nejpozději do tří pracovních dnů ode dne podpisu příslušné smlouvy.</w:t>
      </w:r>
    </w:p>
    <w:p w14:paraId="6FC08BDD" w14:textId="77777777" w:rsidR="00A84A37" w:rsidRPr="00AB76D1" w:rsidRDefault="00A84A37" w:rsidP="00A84A37">
      <w:pPr>
        <w:pStyle w:val="rove1"/>
        <w:rPr>
          <w:sz w:val="22"/>
          <w:szCs w:val="22"/>
        </w:rPr>
      </w:pPr>
      <w:bookmarkStart w:id="9" w:name="_Hlk62056523"/>
      <w:r w:rsidRPr="00AB76D1">
        <w:rPr>
          <w:sz w:val="22"/>
          <w:szCs w:val="22"/>
        </w:rPr>
        <w:t>Příkazce je povinen řídit se v rámci řízení i dalšími písemnými pokyny ze strany příkazníka (za tyto se považují i doručené e-mailové zprávy). V opačném případě příkazník neodpovídá za škodu způsobenou nedodržením těchto pokynů.</w:t>
      </w:r>
      <w:bookmarkEnd w:id="9"/>
    </w:p>
    <w:p w14:paraId="48C29791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Příkazce je povinen archivovat kompletní dokumentaci minimálně po dobu 10 let od předání kompletní dokumentace o řízení k archivaci příkazci, nestanoví-li pravidla dotačního orgánu či jiná aplikovatelná pravidla a zákony o archivaci dobu delší.</w:t>
      </w:r>
    </w:p>
    <w:p w14:paraId="6C3D804C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 xml:space="preserve">Příkazce není oprávněn vést komunikaci s potenciálními dodavateli v průběhu řízení bez předchozího vědomí příkazníka. V opačném případě příkazník neručí za řádný průběh řízení. </w:t>
      </w:r>
    </w:p>
    <w:p w14:paraId="0E6FCFA9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Příkazce nesmí uzavřít příslušnou smlouvu s dodavatelem, jehož nabídka byla vybrána jako nejvýhodnější, dříve, než mu příkazník oznámí, že uplynuly lhůty, ve kterých nelze smlouvu uzavřít.</w:t>
      </w:r>
    </w:p>
    <w:p w14:paraId="727E372C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Všechny dokumenty, tj. zejména všechny textové šablony, elektronické dokumenty atd. předkládané, vytvořené nebo jakkoli jinak prezentované příkazníkem, jejichž předkládání a zpracovávání předpokládá smlouva, jsou chráněny autorskými právy příkazníka ve smyslu zákona č. 121/2000 Sb., autorský zákon, ve znění pozdějších předpisů, a mohou tak být příkazcem používány výlučně pro účely předpokládané smlouvu a nesmí být bez předchozího souhlasu příkazníka užity mimo řízení administrované příkazníkem. Jejich použití v rozporu s tímto bodem zakládá právo příkazníka na náhradu škody. Nároky příkazníka z autorského zákona zůstávají uplatněním nároku na náhradu škody zachovány.</w:t>
      </w:r>
    </w:p>
    <w:p w14:paraId="6F177656" w14:textId="77777777" w:rsidR="00A84A37" w:rsidRPr="00AB76D1" w:rsidRDefault="00A84A37" w:rsidP="00A84A37">
      <w:pPr>
        <w:pStyle w:val="Nzev"/>
        <w:keepNext/>
        <w:numPr>
          <w:ilvl w:val="0"/>
          <w:numId w:val="1"/>
        </w:numPr>
        <w:spacing w:before="240" w:after="240" w:line="276" w:lineRule="auto"/>
        <w:ind w:left="357" w:hanging="357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B76D1">
        <w:rPr>
          <w:rFonts w:ascii="Arial" w:hAnsi="Arial" w:cs="Arial"/>
          <w:b/>
          <w:bCs/>
          <w:sz w:val="22"/>
          <w:szCs w:val="22"/>
        </w:rPr>
        <w:t xml:space="preserve"> Práva a povinnosti příkazníka</w:t>
      </w:r>
    </w:p>
    <w:p w14:paraId="7223BC0C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Příkazník je povinen informovat příkazce o všech okolnostech důležitých pro řádné a včasné provedení předmětu smlouvy a poskytovat příkazci potřebnou součinnost. Výstupy z poskytnutého plnění, které vzniknou v průběhu a v souvislosti s poskytováním služeb, se stávají okamžikem jejich předání příkazci jeho výlučným vlastnictvím. Příkazník nesmí poskytnout žádný z těchto výstupů třetí straně bez předchozího písemného souhlasu příkazce, pokud to nepředpokládá samotná povaha plnění předmětu smlouvy.</w:t>
      </w:r>
    </w:p>
    <w:p w14:paraId="5FF20D78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Příkazník je povinen postupovat při plnění předmětu smlouvy s odbornou péčí a je povinen předcházet vzniku škod.</w:t>
      </w:r>
    </w:p>
    <w:p w14:paraId="63FBB133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Příkazník je povinen vykonávat příslušné činnosti podle pokynů příkazce a v souladu s jeho zájmy. Od těchto pokynů se může odchýlit jen tehdy, je-li to naléhavé a nezbytné v zájmu příkazce a příkazník nemůže včas obdržet jeho souhlas. Ani v těchto případech se nesmí od pokynů odchýlit, jestliže je to zakázáno ZZVZ, smlouvou nebo příkazcem. Příkazník je dále povinen oznámit příkazci všechny okolnosti, které zjistil při zařizování záležitostí podle smlouvy a které mohou mít vliv na změnu pokynů příkazce.</w:t>
      </w:r>
    </w:p>
    <w:p w14:paraId="49C9CDFD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Zjistí-li příkazník, že pokyny příkazce jsou nevhodné či neúčelné, je povinen příkazce na tuto skutečnost upozornit. Bude-li příkazce přes toto upozornění na splnění svých pokynů trvat, má příkazník právo:</w:t>
      </w:r>
    </w:p>
    <w:p w14:paraId="5DF0424B" w14:textId="77777777" w:rsidR="00A84A37" w:rsidRPr="00AB76D1" w:rsidRDefault="00A84A37" w:rsidP="00A84A37">
      <w:pPr>
        <w:pStyle w:val="rove1"/>
        <w:numPr>
          <w:ilvl w:val="1"/>
          <w:numId w:val="4"/>
        </w:numPr>
        <w:ind w:left="1134"/>
        <w:rPr>
          <w:sz w:val="22"/>
          <w:szCs w:val="22"/>
        </w:rPr>
      </w:pPr>
      <w:r w:rsidRPr="00AB76D1">
        <w:rPr>
          <w:sz w:val="22"/>
          <w:szCs w:val="22"/>
        </w:rPr>
        <w:t>požádat o písemné potvrzení pokynu, přičemž neodpovídá za případnou škodu,</w:t>
      </w:r>
    </w:p>
    <w:p w14:paraId="652C19DA" w14:textId="77777777" w:rsidR="00A84A37" w:rsidRPr="00AB76D1" w:rsidRDefault="00A84A37" w:rsidP="00A84A37">
      <w:pPr>
        <w:pStyle w:val="rove1"/>
        <w:numPr>
          <w:ilvl w:val="1"/>
          <w:numId w:val="4"/>
        </w:numPr>
        <w:ind w:left="1134"/>
        <w:rPr>
          <w:sz w:val="22"/>
          <w:szCs w:val="22"/>
        </w:rPr>
      </w:pPr>
      <w:r w:rsidRPr="00AB76D1">
        <w:rPr>
          <w:sz w:val="22"/>
          <w:szCs w:val="22"/>
        </w:rPr>
        <w:t>odstoupit od smlouvy za předpokladu, že pokyny příkazce jsou v rozporu se smlouvou.</w:t>
      </w:r>
    </w:p>
    <w:p w14:paraId="67E89B88" w14:textId="77777777" w:rsidR="00A84A37" w:rsidRPr="00AB76D1" w:rsidRDefault="00A84A37" w:rsidP="00A84A37">
      <w:pPr>
        <w:pStyle w:val="rove3"/>
        <w:ind w:left="567" w:hanging="567"/>
        <w:rPr>
          <w:sz w:val="22"/>
          <w:szCs w:val="22"/>
        </w:rPr>
      </w:pPr>
      <w:r w:rsidRPr="00AB76D1">
        <w:rPr>
          <w:sz w:val="22"/>
          <w:szCs w:val="22"/>
        </w:rPr>
        <w:t>Stejně je příkazník povinen a oprávněn postupovat v případě, že pokyny příkazce jsou v rozporu se ZZVZ, interními pravidly příkazce, dotačními pravidly nebo jinými právními předpisy.</w:t>
      </w:r>
    </w:p>
    <w:p w14:paraId="61A39A5A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Příkazník je povinen provést bez nároku na úhradu odměny organizační zajištění veškerých jednání, jejichž provedení, případně opakované provedení, je nezbytné, protože řízení nebo některá jednání v řízení byly příkazcem nebo Úřadem pro ochranu hospodářské soutěže zrušeny z důvodu nesprávného postupu příkazníka.</w:t>
      </w:r>
    </w:p>
    <w:p w14:paraId="5C6568C1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Příkazník i osoby zajišťující administraci nebudou po celou dobu příslušného řízení ve střetu zájmů ve vztahu k danému řízení v rozsahu, jak je stanoven v § 44 ZZVZ. Pokud příkazník zjistí střet zájmů ve smyslu předchozí věty, je povinen tuto skutečnost oznámit příkazci bezodkladně po jejím zjištění.</w:t>
      </w:r>
    </w:p>
    <w:p w14:paraId="397089D5" w14:textId="77777777" w:rsidR="00A84A37" w:rsidRPr="00AB76D1" w:rsidRDefault="00A84A37" w:rsidP="00A84A37">
      <w:pPr>
        <w:pStyle w:val="rove1"/>
        <w:rPr>
          <w:sz w:val="22"/>
          <w:szCs w:val="22"/>
        </w:rPr>
      </w:pPr>
      <w:bookmarkStart w:id="10" w:name="_Hlk62056750"/>
      <w:r w:rsidRPr="00AB76D1">
        <w:rPr>
          <w:sz w:val="22"/>
          <w:szCs w:val="22"/>
        </w:rPr>
        <w:t>Příkazník odpovídá za zákonný průběh řízení a za průběh řízení v souladu s dotačními pravidly pro zadávání veřejných zakázek, a to do výše škody 10 000 000 Kč. Pro tyto účely je příkazník pojištěn pojistnou smlouvou na odpovědnost za škodu způsobenou příkazníkem při administraci řízení, a to i na odpovědnost za přímé finanční škody, kterou se zavazuje udržovat po celou dobu plnění předmětu smlouvy v platnosti.</w:t>
      </w:r>
    </w:p>
    <w:bookmarkEnd w:id="10"/>
    <w:p w14:paraId="2D64826D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Příkazník je oprávněn uvést ve svých propagačních materiálech a nabídkách pro třetí subjekty, že na základě smlouvy pro příkazce administroval řízení, a to včetně informací o základních, obecně známých parametrech řízení a kontaktních údajů příkazce pro potvrzení reference.</w:t>
      </w:r>
    </w:p>
    <w:p w14:paraId="03EC6578" w14:textId="77777777" w:rsidR="00A84A37" w:rsidRPr="00AB76D1" w:rsidRDefault="00A84A37" w:rsidP="00A84A37">
      <w:pPr>
        <w:pStyle w:val="Nzev"/>
        <w:keepNext/>
        <w:numPr>
          <w:ilvl w:val="0"/>
          <w:numId w:val="1"/>
        </w:numPr>
        <w:spacing w:before="240" w:after="240" w:line="276" w:lineRule="auto"/>
        <w:ind w:left="357" w:hanging="357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B76D1">
        <w:rPr>
          <w:rFonts w:ascii="Arial" w:hAnsi="Arial" w:cs="Arial"/>
          <w:b/>
          <w:bCs/>
          <w:sz w:val="22"/>
          <w:szCs w:val="22"/>
        </w:rPr>
        <w:t xml:space="preserve"> Sankce</w:t>
      </w:r>
    </w:p>
    <w:p w14:paraId="1EFD6637" w14:textId="5501A4A9" w:rsidR="00A84A37" w:rsidRPr="00AB76D1" w:rsidRDefault="00A84A37" w:rsidP="00A84A37">
      <w:pPr>
        <w:pStyle w:val="rove1"/>
        <w:rPr>
          <w:sz w:val="22"/>
          <w:szCs w:val="22"/>
        </w:rPr>
      </w:pPr>
      <w:bookmarkStart w:id="11" w:name="_Ref57760911"/>
      <w:r w:rsidRPr="00AB76D1">
        <w:rPr>
          <w:sz w:val="22"/>
          <w:szCs w:val="22"/>
        </w:rPr>
        <w:t>V případě prodlení příkazce s úhradou faktury podle smlouvy je příkazce povinen zaplatit příkazníkovi smluvní pokutu ve výši 0,05 % z</w:t>
      </w:r>
      <w:r w:rsidR="00276090">
        <w:rPr>
          <w:sz w:val="22"/>
          <w:szCs w:val="22"/>
        </w:rPr>
        <w:t xml:space="preserve"> odměny </w:t>
      </w:r>
      <w:r w:rsidRPr="00AB76D1">
        <w:rPr>
          <w:sz w:val="22"/>
          <w:szCs w:val="22"/>
        </w:rPr>
        <w:t>bez DPH uvedené na předmětné faktuře za každý i jen započatý den prodlení. Smluvní pokuta je splatná na základě faktury – daňového dokladu se splatností 30 dnů ode dne jejího doručení příkazci.</w:t>
      </w:r>
      <w:bookmarkEnd w:id="11"/>
    </w:p>
    <w:p w14:paraId="7A47199A" w14:textId="6327AC9D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 xml:space="preserve">Za každé jednotlivé porušení smlouvy prokázané poškozenou smluvní stranou, které je odlišné od prodlení příkazce s úhradou faktury podle </w:t>
      </w:r>
      <w:proofErr w:type="gramStart"/>
      <w:r w:rsidRPr="00AB76D1">
        <w:rPr>
          <w:sz w:val="22"/>
          <w:szCs w:val="22"/>
        </w:rPr>
        <w:t xml:space="preserve">čl. </w:t>
      </w:r>
      <w:r w:rsidRPr="00AB76D1">
        <w:rPr>
          <w:sz w:val="22"/>
          <w:szCs w:val="22"/>
        </w:rPr>
        <w:fldChar w:fldCharType="begin"/>
      </w:r>
      <w:r w:rsidRPr="00AB76D1">
        <w:rPr>
          <w:sz w:val="22"/>
          <w:szCs w:val="22"/>
        </w:rPr>
        <w:instrText xml:space="preserve"> REF _Ref57760911 \w \h  \* MERGEFORMAT </w:instrText>
      </w:r>
      <w:r w:rsidRPr="00AB76D1">
        <w:rPr>
          <w:sz w:val="22"/>
          <w:szCs w:val="22"/>
        </w:rPr>
      </w:r>
      <w:r w:rsidRPr="00AB76D1">
        <w:rPr>
          <w:sz w:val="22"/>
          <w:szCs w:val="22"/>
        </w:rPr>
        <w:fldChar w:fldCharType="separate"/>
      </w:r>
      <w:r w:rsidR="001076AF">
        <w:rPr>
          <w:sz w:val="22"/>
          <w:szCs w:val="22"/>
        </w:rPr>
        <w:t>8.1</w:t>
      </w:r>
      <w:r w:rsidRPr="00AB76D1">
        <w:rPr>
          <w:sz w:val="22"/>
          <w:szCs w:val="22"/>
        </w:rPr>
        <w:fldChar w:fldCharType="end"/>
      </w:r>
      <w:r w:rsidRPr="00AB76D1">
        <w:rPr>
          <w:sz w:val="22"/>
          <w:szCs w:val="22"/>
        </w:rPr>
        <w:t>. smlouvy</w:t>
      </w:r>
      <w:proofErr w:type="gramEnd"/>
      <w:r w:rsidRPr="00AB76D1">
        <w:rPr>
          <w:sz w:val="22"/>
          <w:szCs w:val="22"/>
        </w:rPr>
        <w:t>, sjednávají smluvní strany smluvní pokutu ve výši 2 000 Kč.</w:t>
      </w:r>
    </w:p>
    <w:p w14:paraId="14AE300B" w14:textId="77777777" w:rsidR="00A84A37" w:rsidRPr="00AB76D1" w:rsidRDefault="00A84A37" w:rsidP="00A84A37">
      <w:pPr>
        <w:pStyle w:val="Nzev"/>
        <w:keepNext/>
        <w:numPr>
          <w:ilvl w:val="0"/>
          <w:numId w:val="1"/>
        </w:numPr>
        <w:spacing w:before="240" w:after="240" w:line="276" w:lineRule="auto"/>
        <w:ind w:left="357" w:hanging="357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B76D1">
        <w:rPr>
          <w:rFonts w:ascii="Arial" w:hAnsi="Arial" w:cs="Arial"/>
          <w:b/>
          <w:bCs/>
          <w:sz w:val="22"/>
          <w:szCs w:val="22"/>
        </w:rPr>
        <w:t>Doručování</w:t>
      </w:r>
    </w:p>
    <w:p w14:paraId="7975DCA6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 xml:space="preserve">Smluvní strany se dohodly, </w:t>
      </w:r>
      <w:r w:rsidRPr="00AB76D1">
        <w:rPr>
          <w:rStyle w:val="rove1Char"/>
          <w:sz w:val="22"/>
          <w:szCs w:val="22"/>
        </w:rPr>
        <w:t>že vzájemná komunikace bude probíhat jak písemně, tak i elektronicky, telefonicky nebo ústně, a to vždy podle povahy jednání.</w:t>
      </w:r>
    </w:p>
    <w:p w14:paraId="399ED786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 xml:space="preserve">Jakékoliv sdělení či jiný dokument, jenž má nebo může být doručen podle smlouvy, lze doručit osobně nebo doporučeným dopisem nebo datovou schránkou anebo e-mailem na adresu (e-mailovou adresu) smluvní strany uvedenou v záhlaví smlouvy, resp. jinou adresu (e-mailovou adresu), která bude po uzavření smlouvy písemně sdělena druhé smluvní straně. </w:t>
      </w:r>
    </w:p>
    <w:p w14:paraId="1DBEF60A" w14:textId="77777777" w:rsidR="00A84A37" w:rsidRPr="00AB76D1" w:rsidRDefault="00A84A37" w:rsidP="00A84A37">
      <w:pPr>
        <w:pStyle w:val="Nzev"/>
        <w:keepNext/>
        <w:numPr>
          <w:ilvl w:val="0"/>
          <w:numId w:val="1"/>
        </w:numPr>
        <w:spacing w:before="240" w:after="240" w:line="276" w:lineRule="auto"/>
        <w:ind w:left="357" w:hanging="357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B76D1">
        <w:rPr>
          <w:rFonts w:ascii="Arial" w:hAnsi="Arial" w:cs="Arial"/>
          <w:b/>
          <w:bCs/>
          <w:sz w:val="22"/>
          <w:szCs w:val="22"/>
        </w:rPr>
        <w:t>Ukončení smlouvy</w:t>
      </w:r>
    </w:p>
    <w:p w14:paraId="41F1A69D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Smlouvu lze ukončit písemnou dohodou smluvních stran.</w:t>
      </w:r>
    </w:p>
    <w:p w14:paraId="6E91ABBA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Kterákoliv smluvní strana je oprávněna smlouvu vypovědět, a to i bez udání důvodu.</w:t>
      </w:r>
    </w:p>
    <w:p w14:paraId="6575DE7A" w14:textId="52990141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 xml:space="preserve">Výpovědní doba činí </w:t>
      </w:r>
      <w:r w:rsidR="00315F5F">
        <w:rPr>
          <w:sz w:val="22"/>
          <w:szCs w:val="22"/>
        </w:rPr>
        <w:t>6</w:t>
      </w:r>
      <w:r w:rsidR="00315F5F" w:rsidRPr="00AB76D1">
        <w:rPr>
          <w:sz w:val="22"/>
          <w:szCs w:val="22"/>
        </w:rPr>
        <w:t xml:space="preserve">0 </w:t>
      </w:r>
      <w:r w:rsidRPr="00AB76D1">
        <w:rPr>
          <w:sz w:val="22"/>
          <w:szCs w:val="22"/>
        </w:rPr>
        <w:t>dní a počíná běžet doručením výpovědi druhé smluvní straně. Výpověď je možno doručit písemně osobně, prostřednictvím poštovního doručovatele, anebo elektronicky datovou schránkou nebo e-mailem s uznávaným elektronickým podpisem, který bude adresován na e-mailovou adresu statutárního orgánu druhé smluvní strany.</w:t>
      </w:r>
    </w:p>
    <w:p w14:paraId="75E4DB57" w14:textId="5B141201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 xml:space="preserve">V případě výpovědi smlouvy jsou obě strany povinny počínat si tak, aby nedocházelo ke vzniku škod, tedy zejména dokončit jednání, které nesnesou odkladu. V případě předčasného ukončení smlouvy, včetně ukončení na základě výpovědi, má příkazník právo na úhradu poměrné části odměny podle čl. </w:t>
      </w:r>
      <w:r w:rsidRPr="00AB76D1">
        <w:rPr>
          <w:sz w:val="22"/>
          <w:szCs w:val="22"/>
        </w:rPr>
        <w:fldChar w:fldCharType="begin"/>
      </w:r>
      <w:r w:rsidRPr="00AB76D1">
        <w:rPr>
          <w:sz w:val="22"/>
          <w:szCs w:val="22"/>
        </w:rPr>
        <w:instrText xml:space="preserve"> REF _Ref57760937 \r \h  \* MERGEFORMAT </w:instrText>
      </w:r>
      <w:r w:rsidRPr="00AB76D1">
        <w:rPr>
          <w:sz w:val="22"/>
          <w:szCs w:val="22"/>
        </w:rPr>
      </w:r>
      <w:r w:rsidRPr="00AB76D1">
        <w:rPr>
          <w:sz w:val="22"/>
          <w:szCs w:val="22"/>
        </w:rPr>
        <w:fldChar w:fldCharType="separate"/>
      </w:r>
      <w:r w:rsidR="001076AF">
        <w:rPr>
          <w:sz w:val="22"/>
          <w:szCs w:val="22"/>
        </w:rPr>
        <w:t>V</w:t>
      </w:r>
      <w:r w:rsidRPr="00AB76D1">
        <w:rPr>
          <w:sz w:val="22"/>
          <w:szCs w:val="22"/>
        </w:rPr>
        <w:fldChar w:fldCharType="end"/>
      </w:r>
      <w:r w:rsidRPr="00AB76D1">
        <w:rPr>
          <w:sz w:val="22"/>
          <w:szCs w:val="22"/>
        </w:rPr>
        <w:t>. smlouvy.</w:t>
      </w:r>
    </w:p>
    <w:p w14:paraId="67BF7D75" w14:textId="77777777" w:rsidR="00A84A37" w:rsidRPr="00AB76D1" w:rsidRDefault="00A84A37" w:rsidP="00A84A37">
      <w:pPr>
        <w:pStyle w:val="Nzev"/>
        <w:keepNext/>
        <w:numPr>
          <w:ilvl w:val="0"/>
          <w:numId w:val="1"/>
        </w:numPr>
        <w:spacing w:before="240" w:after="240" w:line="276" w:lineRule="auto"/>
        <w:ind w:left="357" w:hanging="357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B76D1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383CDE3A" w14:textId="77777777" w:rsidR="00A84A37" w:rsidRPr="00AB76D1" w:rsidRDefault="00A84A37" w:rsidP="00A84A37">
      <w:pPr>
        <w:pStyle w:val="rove1"/>
        <w:rPr>
          <w:sz w:val="22"/>
          <w:szCs w:val="22"/>
        </w:rPr>
      </w:pPr>
      <w:bookmarkStart w:id="12" w:name="_Hlk69561712"/>
      <w:r w:rsidRPr="00AB76D1">
        <w:rPr>
          <w:sz w:val="22"/>
          <w:szCs w:val="22"/>
        </w:rPr>
        <w:t>Práva a povinnosti smluvních stran výslovně ve smlouvě neupravené se řídí příslušnými ustanoveními ZZVZ, OZ a dalšími platnými a účinnými právními předpisy České republiky</w:t>
      </w:r>
      <w:bookmarkEnd w:id="12"/>
      <w:r w:rsidRPr="00AB76D1">
        <w:rPr>
          <w:sz w:val="22"/>
          <w:szCs w:val="22"/>
        </w:rPr>
        <w:t>.</w:t>
      </w:r>
    </w:p>
    <w:p w14:paraId="1226200E" w14:textId="77777777" w:rsidR="00A84A37" w:rsidRPr="00AB76D1" w:rsidRDefault="00A84A37" w:rsidP="00A84A37">
      <w:pPr>
        <w:pStyle w:val="rove1"/>
        <w:rPr>
          <w:sz w:val="22"/>
          <w:szCs w:val="22"/>
        </w:rPr>
      </w:pPr>
      <w:bookmarkStart w:id="13" w:name="_Hlk69561763"/>
      <w:r w:rsidRPr="00AB76D1">
        <w:rPr>
          <w:sz w:val="22"/>
          <w:szCs w:val="22"/>
        </w:rPr>
        <w:t>Smluvní strany prohlašují, že veškeré vzniklé spory budou řešit především smírnou cestou. Pokud nebude možné spor vyřešit smírnou cestou, bude řešen před věcně a místně příslušným soudem v souladu s platnými a účinnými právními předpisy České republiky</w:t>
      </w:r>
      <w:bookmarkEnd w:id="13"/>
      <w:r w:rsidRPr="00AB76D1">
        <w:rPr>
          <w:sz w:val="22"/>
          <w:szCs w:val="22"/>
        </w:rPr>
        <w:t>.</w:t>
      </w:r>
    </w:p>
    <w:p w14:paraId="5BA8696A" w14:textId="77777777" w:rsidR="00A84A37" w:rsidRPr="00AB76D1" w:rsidRDefault="00A84A37" w:rsidP="00A84A37">
      <w:pPr>
        <w:pStyle w:val="Odstavecseseznamem"/>
        <w:numPr>
          <w:ilvl w:val="1"/>
          <w:numId w:val="1"/>
        </w:numPr>
        <w:spacing w:before="60" w:after="60"/>
        <w:contextualSpacing w:val="0"/>
        <w:rPr>
          <w:rFonts w:cs="Arial"/>
          <w:sz w:val="22"/>
          <w:szCs w:val="22"/>
        </w:rPr>
      </w:pPr>
      <w:bookmarkStart w:id="14" w:name="_Hlk69562489"/>
      <w:r w:rsidRPr="00AB76D1">
        <w:rPr>
          <w:rFonts w:cs="Arial"/>
          <w:sz w:val="22"/>
          <w:szCs w:val="22"/>
        </w:rPr>
        <w:t>Příkazník je podle § 2 písm. e) zákona č. 320/2001 Sb., o finanční kontrole ve veřejné správě, ve znění pozdějších předpisů, osobou povinnou spolupůsobit při výkonu finanční kontroly, a to v případě, že taková povinnost podle tohoto zákona vznikne.</w:t>
      </w:r>
    </w:p>
    <w:bookmarkEnd w:id="14"/>
    <w:p w14:paraId="66E0E76A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Smlouva je vyhotovena v elektronickém originále a podepsána uznávanými elektronickými podpisy.</w:t>
      </w:r>
    </w:p>
    <w:p w14:paraId="5D1ABA87" w14:textId="77777777" w:rsidR="00A84A37" w:rsidRPr="00AB76D1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Smlouvu je možno měnit pouze písemnými číslovanými dodatky podepsanými oběma smluvními stranami.</w:t>
      </w:r>
    </w:p>
    <w:p w14:paraId="6572B1E5" w14:textId="77777777" w:rsidR="00A84A37" w:rsidRPr="00AB76D1" w:rsidRDefault="00A84A37" w:rsidP="00A84A37">
      <w:pPr>
        <w:pStyle w:val="rove1"/>
        <w:rPr>
          <w:sz w:val="22"/>
          <w:szCs w:val="22"/>
        </w:rPr>
      </w:pPr>
      <w:bookmarkStart w:id="15" w:name="_Hlk69562360"/>
      <w:r w:rsidRPr="00AB76D1">
        <w:rPr>
          <w:sz w:val="22"/>
          <w:szCs w:val="22"/>
        </w:rPr>
        <w:t>Smlouva nabývá platnosti dnem podpisu smluvních stran a účinnosti okamžikem zveřejnění v registru smluv podle zákona č. 340/2015 Sb., zvláštních podmínkách účinnosti některých smluv, uveřejňování těchto smluv a o registru smluv (zákon o registru smluv), ve znění pozdějších předpisů, je-li tímto zákonem zveřejnění smlouvy vyžadováno, jinak dnem podpisu smluvních stran. Zveřejnění smlouvy v registru smluv zajistí příkazce.</w:t>
      </w:r>
      <w:bookmarkEnd w:id="15"/>
    </w:p>
    <w:p w14:paraId="7C1F8AC2" w14:textId="77777777" w:rsidR="00A84A37" w:rsidRDefault="00A84A37" w:rsidP="00A84A37">
      <w:pPr>
        <w:pStyle w:val="rove1"/>
        <w:rPr>
          <w:sz w:val="22"/>
          <w:szCs w:val="22"/>
        </w:rPr>
      </w:pPr>
      <w:r w:rsidRPr="00AB76D1">
        <w:rPr>
          <w:sz w:val="22"/>
          <w:szCs w:val="22"/>
        </w:rPr>
        <w:t>Smluvní strany prohlašují, že si smlouvu přečetly, jejímu obsahu beze zbytku porozuměly a že její obsah vyjadřuje jejich skutečnou, vážnou a svobodnou vůli, přičemž to stvrzují níže svými podpisy.</w:t>
      </w:r>
    </w:p>
    <w:p w14:paraId="70D7E6A9" w14:textId="5CAA2883" w:rsidR="00A84A37" w:rsidRPr="00AB76D1" w:rsidRDefault="00A84A37" w:rsidP="00A84A37">
      <w:pPr>
        <w:pStyle w:val="rove1"/>
        <w:rPr>
          <w:sz w:val="22"/>
          <w:szCs w:val="22"/>
        </w:rPr>
      </w:pPr>
      <w:r w:rsidRPr="00A84A37">
        <w:rPr>
          <w:sz w:val="22"/>
          <w:szCs w:val="22"/>
        </w:rPr>
        <w:t xml:space="preserve">Tuto smlouvu schválila níže podepsané primátorka města v souladu s pověřením vyplývajícím z bodu 2.1.2 vnitřní směrnice města č. </w:t>
      </w:r>
      <w:r w:rsidR="00276090">
        <w:rPr>
          <w:sz w:val="22"/>
          <w:szCs w:val="22"/>
        </w:rPr>
        <w:t>6/2023</w:t>
      </w:r>
      <w:bookmarkStart w:id="16" w:name="_GoBack"/>
      <w:bookmarkEnd w:id="16"/>
      <w:r w:rsidRPr="00A84A37">
        <w:rPr>
          <w:sz w:val="22"/>
          <w:szCs w:val="22"/>
        </w:rPr>
        <w:t xml:space="preserve"> – Směrnice pro zadávání veřejných zakázek statutárního města Třince a příspěvkových organizací statutárního města Třince</w:t>
      </w:r>
      <w:r w:rsidR="000B3139">
        <w:rPr>
          <w:sz w:val="22"/>
          <w:szCs w:val="22"/>
        </w:rPr>
        <w:t>.</w:t>
      </w:r>
    </w:p>
    <w:p w14:paraId="611B3C3F" w14:textId="77777777" w:rsidR="00A84A37" w:rsidRPr="0051379C" w:rsidRDefault="00A84A37" w:rsidP="00A84A37">
      <w:pPr>
        <w:spacing w:before="60" w:after="60"/>
        <w:rPr>
          <w:rFonts w:eastAsia="Calibri" w:cs="Arial"/>
          <w:sz w:val="22"/>
        </w:rPr>
      </w:pPr>
    </w:p>
    <w:p w14:paraId="6CE31BD2" w14:textId="77777777" w:rsidR="00A84A37" w:rsidRPr="0051379C" w:rsidRDefault="00A84A37" w:rsidP="00A84A37">
      <w:pPr>
        <w:keepNext/>
        <w:spacing w:before="60" w:after="60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Přílohy:</w:t>
      </w:r>
    </w:p>
    <w:p w14:paraId="5FAF2672" w14:textId="77777777" w:rsidR="00A84A37" w:rsidRDefault="00A84A37" w:rsidP="00A84A37">
      <w:pPr>
        <w:keepNext/>
        <w:spacing w:before="60" w:after="60"/>
        <w:ind w:left="567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Příloha č. 1</w:t>
      </w:r>
      <w:r w:rsidRPr="0051379C">
        <w:rPr>
          <w:rFonts w:eastAsia="Calibri" w:cs="Arial"/>
          <w:sz w:val="22"/>
        </w:rPr>
        <w:tab/>
        <w:t>Rozsah činností příkazníka</w:t>
      </w:r>
    </w:p>
    <w:p w14:paraId="5D62D7A0" w14:textId="77777777" w:rsidR="00A84A37" w:rsidRPr="0051379C" w:rsidRDefault="00A84A37" w:rsidP="00A84A37">
      <w:pPr>
        <w:keepNext/>
        <w:spacing w:before="60" w:after="60"/>
        <w:ind w:left="567"/>
        <w:rPr>
          <w:rFonts w:eastAsia="Calibri" w:cs="Arial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84A37" w:rsidRPr="0051379C" w14:paraId="5E76FD3E" w14:textId="77777777" w:rsidTr="00F74AF9">
        <w:tc>
          <w:tcPr>
            <w:tcW w:w="4530" w:type="dxa"/>
          </w:tcPr>
          <w:p w14:paraId="33F70AC3" w14:textId="77777777" w:rsidR="00A84A37" w:rsidRPr="0051379C" w:rsidRDefault="00A84A37" w:rsidP="00F74AF9">
            <w:pPr>
              <w:spacing w:before="60" w:after="6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>V Třinci dne __. __. ____</w:t>
            </w:r>
          </w:p>
        </w:tc>
        <w:tc>
          <w:tcPr>
            <w:tcW w:w="4530" w:type="dxa"/>
          </w:tcPr>
          <w:p w14:paraId="2764BB6D" w14:textId="1ED61E00" w:rsidR="00A84A37" w:rsidRPr="0051379C" w:rsidRDefault="00A84A37" w:rsidP="00472DEF">
            <w:pPr>
              <w:spacing w:before="60" w:after="6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sz w:val="22"/>
              </w:rPr>
              <w:t>V </w:t>
            </w:r>
            <w:r w:rsidR="00472DEF">
              <w:rPr>
                <w:rFonts w:eastAsia="Calibri" w:cs="Arial"/>
                <w:sz w:val="22"/>
              </w:rPr>
              <w:t>……..</w:t>
            </w:r>
            <w:r w:rsidRPr="0051379C">
              <w:rPr>
                <w:rFonts w:eastAsia="Calibri" w:cs="Arial"/>
                <w:sz w:val="22"/>
              </w:rPr>
              <w:t xml:space="preserve"> dne __. __. ____</w:t>
            </w:r>
          </w:p>
        </w:tc>
      </w:tr>
      <w:tr w:rsidR="00A84A37" w:rsidRPr="0051379C" w14:paraId="5F8989F6" w14:textId="77777777" w:rsidTr="00F74AF9">
        <w:trPr>
          <w:trHeight w:val="1701"/>
        </w:trPr>
        <w:tc>
          <w:tcPr>
            <w:tcW w:w="4530" w:type="dxa"/>
          </w:tcPr>
          <w:p w14:paraId="15DE19A7" w14:textId="77777777" w:rsidR="00A84A37" w:rsidRPr="0051379C" w:rsidRDefault="00A84A37" w:rsidP="00F74AF9">
            <w:pPr>
              <w:spacing w:before="60" w:after="60"/>
              <w:jc w:val="left"/>
              <w:rPr>
                <w:rFonts w:eastAsia="Calibri" w:cs="Arial"/>
                <w:sz w:val="22"/>
              </w:rPr>
            </w:pPr>
          </w:p>
        </w:tc>
        <w:tc>
          <w:tcPr>
            <w:tcW w:w="4530" w:type="dxa"/>
          </w:tcPr>
          <w:p w14:paraId="048AE540" w14:textId="77777777" w:rsidR="00A84A37" w:rsidRPr="0051379C" w:rsidRDefault="00A84A37" w:rsidP="00F74AF9">
            <w:pPr>
              <w:spacing w:before="60" w:after="60"/>
              <w:jc w:val="left"/>
              <w:rPr>
                <w:rFonts w:eastAsia="Calibri" w:cs="Arial"/>
                <w:sz w:val="22"/>
              </w:rPr>
            </w:pPr>
          </w:p>
        </w:tc>
      </w:tr>
      <w:tr w:rsidR="00A84A37" w:rsidRPr="0051379C" w14:paraId="41777CC2" w14:textId="77777777" w:rsidTr="00F74AF9">
        <w:tc>
          <w:tcPr>
            <w:tcW w:w="4530" w:type="dxa"/>
          </w:tcPr>
          <w:p w14:paraId="3A7E87AC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b/>
                <w:bCs/>
                <w:sz w:val="22"/>
              </w:rPr>
            </w:pPr>
            <w:r w:rsidRPr="0051379C">
              <w:rPr>
                <w:rFonts w:eastAsia="Calibri" w:cs="Arial"/>
                <w:b/>
                <w:bCs/>
                <w:sz w:val="22"/>
              </w:rPr>
              <w:t>Statutární město Třinec</w:t>
            </w:r>
          </w:p>
        </w:tc>
        <w:tc>
          <w:tcPr>
            <w:tcW w:w="4530" w:type="dxa"/>
          </w:tcPr>
          <w:p w14:paraId="23279B24" w14:textId="52D1EE4F" w:rsidR="00A84A37" w:rsidRPr="0051379C" w:rsidRDefault="00643C1F" w:rsidP="00F74AF9">
            <w:pPr>
              <w:spacing w:after="0"/>
              <w:jc w:val="left"/>
              <w:rPr>
                <w:rFonts w:eastAsia="Calibri" w:cs="Arial"/>
                <w:b/>
                <w:bCs/>
                <w:sz w:val="22"/>
              </w:rPr>
            </w:pPr>
            <w:r w:rsidRPr="00472DEF">
              <w:rPr>
                <w:rFonts w:eastAsia="Calibri" w:cs="Arial"/>
                <w:b/>
                <w:bCs/>
                <w:sz w:val="22"/>
                <w:highlight w:val="yellow"/>
              </w:rPr>
              <w:t>………………………………</w:t>
            </w:r>
            <w:r>
              <w:rPr>
                <w:rFonts w:eastAsia="Calibri" w:cs="Arial"/>
                <w:b/>
                <w:bCs/>
                <w:sz w:val="22"/>
              </w:rPr>
              <w:t>.</w:t>
            </w:r>
          </w:p>
        </w:tc>
      </w:tr>
      <w:tr w:rsidR="00A84A37" w:rsidRPr="0051379C" w14:paraId="0DCFDAC3" w14:textId="77777777" w:rsidTr="00F74AF9">
        <w:tc>
          <w:tcPr>
            <w:tcW w:w="4530" w:type="dxa"/>
          </w:tcPr>
          <w:p w14:paraId="1FF9FFA9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color w:val="000000"/>
                <w:sz w:val="22"/>
              </w:rPr>
              <w:t>RNDr. Věra Palkovská</w:t>
            </w:r>
          </w:p>
        </w:tc>
        <w:tc>
          <w:tcPr>
            <w:tcW w:w="4530" w:type="dxa"/>
          </w:tcPr>
          <w:p w14:paraId="54D1C06C" w14:textId="322534EB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</w:p>
        </w:tc>
      </w:tr>
      <w:tr w:rsidR="00A84A37" w:rsidRPr="0051379C" w14:paraId="1955F0E7" w14:textId="77777777" w:rsidTr="00F74AF9">
        <w:tc>
          <w:tcPr>
            <w:tcW w:w="4530" w:type="dxa"/>
          </w:tcPr>
          <w:p w14:paraId="7A08110D" w14:textId="77777777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  <w:r w:rsidRPr="0051379C">
              <w:rPr>
                <w:rFonts w:eastAsia="Calibri" w:cs="Arial"/>
                <w:color w:val="000000"/>
                <w:sz w:val="22"/>
              </w:rPr>
              <w:t>primátorka</w:t>
            </w:r>
          </w:p>
        </w:tc>
        <w:tc>
          <w:tcPr>
            <w:tcW w:w="4530" w:type="dxa"/>
          </w:tcPr>
          <w:p w14:paraId="228311FE" w14:textId="586BF13D" w:rsidR="00A84A37" w:rsidRPr="0051379C" w:rsidRDefault="00A84A37" w:rsidP="00F74AF9">
            <w:pPr>
              <w:spacing w:after="0"/>
              <w:jc w:val="left"/>
              <w:rPr>
                <w:rFonts w:eastAsia="Calibri" w:cs="Arial"/>
                <w:sz w:val="22"/>
              </w:rPr>
            </w:pPr>
          </w:p>
        </w:tc>
      </w:tr>
      <w:tr w:rsidR="00A84A37" w:rsidRPr="0051379C" w14:paraId="6DC98FC1" w14:textId="77777777" w:rsidTr="00F74AF9">
        <w:tc>
          <w:tcPr>
            <w:tcW w:w="4530" w:type="dxa"/>
          </w:tcPr>
          <w:p w14:paraId="1107872B" w14:textId="77777777" w:rsidR="00A84A37" w:rsidRPr="0051379C" w:rsidRDefault="00A84A37" w:rsidP="00F74AF9">
            <w:pPr>
              <w:spacing w:before="60" w:after="60"/>
              <w:jc w:val="left"/>
              <w:rPr>
                <w:rFonts w:eastAsia="Calibri" w:cs="Arial"/>
                <w:color w:val="000000"/>
                <w:sz w:val="22"/>
                <w:highlight w:val="yellow"/>
              </w:rPr>
            </w:pPr>
            <w:r w:rsidRPr="0051379C">
              <w:rPr>
                <w:rFonts w:eastAsia="Calibri" w:cs="Arial"/>
                <w:i/>
                <w:iCs/>
                <w:color w:val="000000"/>
                <w:sz w:val="22"/>
              </w:rPr>
              <w:t>příkazce</w:t>
            </w:r>
          </w:p>
        </w:tc>
        <w:tc>
          <w:tcPr>
            <w:tcW w:w="4530" w:type="dxa"/>
          </w:tcPr>
          <w:p w14:paraId="68D92767" w14:textId="77777777" w:rsidR="00A84A37" w:rsidRPr="0051379C" w:rsidRDefault="00A84A37" w:rsidP="00F74AF9">
            <w:pPr>
              <w:spacing w:before="60" w:after="60"/>
              <w:jc w:val="left"/>
              <w:rPr>
                <w:rFonts w:eastAsia="Calibri" w:cs="Arial"/>
                <w:i/>
                <w:iCs/>
                <w:sz w:val="22"/>
              </w:rPr>
            </w:pPr>
            <w:r w:rsidRPr="0051379C">
              <w:rPr>
                <w:rFonts w:eastAsia="Calibri" w:cs="Arial"/>
                <w:i/>
                <w:iCs/>
                <w:color w:val="000000"/>
                <w:sz w:val="22"/>
              </w:rPr>
              <w:t>příkazník</w:t>
            </w:r>
          </w:p>
        </w:tc>
      </w:tr>
    </w:tbl>
    <w:p w14:paraId="689CCA2F" w14:textId="77777777" w:rsidR="00A84A37" w:rsidRDefault="00A84A37" w:rsidP="00A84A37">
      <w:pPr>
        <w:pStyle w:val="Nadpis1"/>
        <w:rPr>
          <w:rFonts w:eastAsia="Calibri"/>
          <w:color w:val="000000" w:themeColor="text1"/>
        </w:rPr>
      </w:pPr>
      <w:bookmarkStart w:id="17" w:name="_Toc147747740"/>
    </w:p>
    <w:p w14:paraId="62055CA4" w14:textId="77777777" w:rsidR="00A84A37" w:rsidRDefault="00A84A37" w:rsidP="00A84A37">
      <w:pPr>
        <w:spacing w:after="160" w:line="259" w:lineRule="auto"/>
        <w:jc w:val="left"/>
        <w:rPr>
          <w:rFonts w:eastAsia="Calibri" w:cstheme="majorBidi"/>
          <w:b/>
          <w:color w:val="000000" w:themeColor="text1"/>
          <w:sz w:val="28"/>
          <w:szCs w:val="32"/>
        </w:rPr>
      </w:pPr>
      <w:r>
        <w:rPr>
          <w:rFonts w:eastAsia="Calibri"/>
          <w:color w:val="000000" w:themeColor="text1"/>
        </w:rPr>
        <w:br w:type="page"/>
      </w:r>
    </w:p>
    <w:p w14:paraId="02BFEB2E" w14:textId="77777777" w:rsidR="00A84A37" w:rsidRPr="00AE341B" w:rsidRDefault="00A84A37" w:rsidP="00A84A37">
      <w:pPr>
        <w:pStyle w:val="Nadpis1"/>
        <w:rPr>
          <w:rFonts w:eastAsia="Calibri"/>
          <w:color w:val="000000" w:themeColor="text1"/>
        </w:rPr>
      </w:pPr>
      <w:r w:rsidRPr="00AE341B">
        <w:rPr>
          <w:rFonts w:eastAsia="Calibri"/>
          <w:color w:val="000000" w:themeColor="text1"/>
        </w:rPr>
        <w:t>Příloha č. 1</w:t>
      </w:r>
      <w:r w:rsidRPr="00AE341B">
        <w:rPr>
          <w:rFonts w:eastAsia="Calibri"/>
          <w:color w:val="000000" w:themeColor="text1"/>
        </w:rPr>
        <w:tab/>
        <w:t>Příkazní smlouvy – rozsah činností administrace veřejné zakázky v otevřeném řízení (OŘ), zjednodušeném podlimitním řízení (ZPŘ)</w:t>
      </w:r>
      <w:bookmarkEnd w:id="17"/>
    </w:p>
    <w:p w14:paraId="17ADF0E5" w14:textId="77777777" w:rsidR="00A84A37" w:rsidRDefault="00A84A37" w:rsidP="00A84A37">
      <w:pPr>
        <w:spacing w:line="259" w:lineRule="auto"/>
        <w:jc w:val="left"/>
        <w:rPr>
          <w:rFonts w:cs="Arial"/>
          <w:szCs w:val="20"/>
          <w:lang w:eastAsia="cs-CZ"/>
        </w:rPr>
      </w:pPr>
    </w:p>
    <w:p w14:paraId="06FF48FB" w14:textId="77777777" w:rsidR="00A84A37" w:rsidRPr="0051379C" w:rsidRDefault="00A84A37" w:rsidP="00A84A37">
      <w:pPr>
        <w:jc w:val="center"/>
        <w:rPr>
          <w:rFonts w:eastAsia="Calibri" w:cs="Arial"/>
          <w:b/>
          <w:sz w:val="22"/>
        </w:rPr>
      </w:pPr>
      <w:r w:rsidRPr="0051379C">
        <w:rPr>
          <w:rFonts w:eastAsia="Calibri" w:cs="Arial"/>
          <w:b/>
          <w:sz w:val="22"/>
        </w:rPr>
        <w:t xml:space="preserve">Příloha č. 1 </w:t>
      </w:r>
      <w:bookmarkStart w:id="18" w:name="_Hlk147747693"/>
      <w:r w:rsidRPr="0051379C">
        <w:rPr>
          <w:rFonts w:eastAsia="Calibri" w:cs="Arial"/>
          <w:b/>
          <w:sz w:val="22"/>
        </w:rPr>
        <w:t>Příkazní smlouvy – rozsah činností administrace veřejné zakázky v otevřeném řízení (OŘ), zjednodušeném podlimitním řízení (ZPŘ)</w:t>
      </w:r>
    </w:p>
    <w:bookmarkEnd w:id="18"/>
    <w:p w14:paraId="0A9F69C1" w14:textId="77777777" w:rsidR="00A84A37" w:rsidRPr="0051379C" w:rsidRDefault="00A84A37" w:rsidP="00A84A37">
      <w:pPr>
        <w:jc w:val="center"/>
        <w:rPr>
          <w:rFonts w:eastAsia="Calibri" w:cs="Arial"/>
          <w:b/>
          <w:sz w:val="28"/>
          <w:szCs w:val="28"/>
        </w:rPr>
      </w:pPr>
    </w:p>
    <w:p w14:paraId="20A8B6CE" w14:textId="77777777" w:rsidR="00A84A37" w:rsidRPr="0051379C" w:rsidRDefault="00A84A37" w:rsidP="00A84A37">
      <w:pPr>
        <w:keepNext/>
        <w:numPr>
          <w:ilvl w:val="0"/>
          <w:numId w:val="7"/>
        </w:numPr>
        <w:spacing w:before="240" w:after="240"/>
        <w:ind w:left="357" w:hanging="357"/>
        <w:contextualSpacing/>
        <w:jc w:val="center"/>
        <w:outlineLvl w:val="0"/>
        <w:rPr>
          <w:rFonts w:eastAsia="Calibri" w:cs="Arial"/>
          <w:b/>
          <w:sz w:val="22"/>
        </w:rPr>
      </w:pPr>
      <w:bookmarkStart w:id="19" w:name="_Toc147747651"/>
      <w:bookmarkStart w:id="20" w:name="_Toc147747741"/>
      <w:r w:rsidRPr="0051379C">
        <w:rPr>
          <w:rFonts w:eastAsia="Calibri" w:cs="Arial"/>
          <w:b/>
          <w:sz w:val="22"/>
        </w:rPr>
        <w:t>Před zahájením řízení</w:t>
      </w:r>
      <w:bookmarkEnd w:id="19"/>
      <w:bookmarkEnd w:id="20"/>
    </w:p>
    <w:p w14:paraId="0379BE54" w14:textId="77777777" w:rsidR="00A84A37" w:rsidRPr="0051379C" w:rsidRDefault="00A84A37" w:rsidP="00A84A37">
      <w:pPr>
        <w:numPr>
          <w:ilvl w:val="1"/>
          <w:numId w:val="1"/>
        </w:numPr>
        <w:spacing w:before="60" w:after="60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Organizace řízení před zahájením řízení zahrnuje zejména tyto úkony:</w:t>
      </w:r>
    </w:p>
    <w:p w14:paraId="7087468C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276" w:hanging="709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spolupráce s příkazcem při stanovení zadávacích podmínek – textové zpracování zadávacích podmínek;</w:t>
      </w:r>
    </w:p>
    <w:p w14:paraId="10AA653E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276" w:hanging="709"/>
        <w:rPr>
          <w:rFonts w:eastAsia="Calibri" w:cs="Arial"/>
          <w:sz w:val="22"/>
        </w:rPr>
      </w:pPr>
      <w:r w:rsidRPr="0051379C" w:rsidDel="005269DA">
        <w:rPr>
          <w:rFonts w:eastAsia="Calibri" w:cs="Arial"/>
          <w:sz w:val="22"/>
        </w:rPr>
        <w:t>příprava a uveřejnění potřebných procesních formulářů (např. do Věstníku veřejných zakázek), vznikne-li tato povinnost;</w:t>
      </w:r>
    </w:p>
    <w:p w14:paraId="73FAC314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276" w:hanging="709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předložení textově zpracovaných zadávacích podmínek ke schválení příkazci, případné zapracování jeho připomínek;</w:t>
      </w:r>
    </w:p>
    <w:p w14:paraId="761AC202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276" w:hanging="709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zapracování či vypořádání připomínek poskytovatele dotace, vznikne-li tato povinnost;</w:t>
      </w:r>
    </w:p>
    <w:p w14:paraId="7B91CEB8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276" w:hanging="709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zajištění veškerých procesních úkonů podle ZZVZ před zahájením řízení, které jsou pro zahájení řízení nezbytné;</w:t>
      </w:r>
    </w:p>
    <w:p w14:paraId="23B45CC3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276" w:hanging="709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zahájení řízení, a to odesláním oznámení o zahájení řízení do VVZ (OŘ), nebo zveřejněním výzvy pro podání nabídek na profilu zadavatele (ZPŘ);</w:t>
      </w:r>
    </w:p>
    <w:p w14:paraId="59575850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276" w:hanging="709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odeslání výzvy k podání nabídek příkazcem zvoleným dodavatelům, je-li to požadováno (ZPŘ);</w:t>
      </w:r>
    </w:p>
    <w:p w14:paraId="06E3ED1A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276" w:hanging="709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zveřejnění zadávací dokumentace na profilu zadavatele dle ZZVZ;</w:t>
      </w:r>
    </w:p>
    <w:p w14:paraId="710BB178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276" w:hanging="709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správa řízení v elektronickém nástroji a na profilu zadavatele, obdrží-li příkazník přístup.</w:t>
      </w:r>
    </w:p>
    <w:p w14:paraId="68A43D2E" w14:textId="77777777" w:rsidR="00A84A37" w:rsidRPr="0051379C" w:rsidRDefault="00A84A37" w:rsidP="00A84A37">
      <w:pPr>
        <w:spacing w:before="60" w:after="60"/>
        <w:ind w:left="1276"/>
        <w:rPr>
          <w:rFonts w:eastAsia="Calibri" w:cs="Arial"/>
          <w:sz w:val="22"/>
        </w:rPr>
      </w:pPr>
    </w:p>
    <w:p w14:paraId="7FCBFFD3" w14:textId="77777777" w:rsidR="00A84A37" w:rsidRPr="0051379C" w:rsidRDefault="00A84A37" w:rsidP="00A84A37">
      <w:pPr>
        <w:keepNext/>
        <w:numPr>
          <w:ilvl w:val="0"/>
          <w:numId w:val="1"/>
        </w:numPr>
        <w:spacing w:before="240" w:after="240"/>
        <w:ind w:left="357" w:hanging="357"/>
        <w:contextualSpacing/>
        <w:jc w:val="center"/>
        <w:outlineLvl w:val="0"/>
        <w:rPr>
          <w:rFonts w:eastAsia="Calibri" w:cs="Arial"/>
          <w:b/>
          <w:sz w:val="22"/>
        </w:rPr>
      </w:pPr>
      <w:bookmarkStart w:id="21" w:name="_Toc147747652"/>
      <w:bookmarkStart w:id="22" w:name="_Toc147747742"/>
      <w:r w:rsidRPr="0051379C">
        <w:rPr>
          <w:rFonts w:eastAsia="Calibri" w:cs="Arial"/>
          <w:b/>
          <w:sz w:val="22"/>
        </w:rPr>
        <w:t>Lhůta pro podání nabídek</w:t>
      </w:r>
      <w:bookmarkEnd w:id="21"/>
      <w:bookmarkEnd w:id="22"/>
    </w:p>
    <w:p w14:paraId="502233FE" w14:textId="77777777" w:rsidR="00A84A37" w:rsidRPr="0051379C" w:rsidRDefault="00A84A37" w:rsidP="00A84A37">
      <w:pPr>
        <w:numPr>
          <w:ilvl w:val="1"/>
          <w:numId w:val="1"/>
        </w:numPr>
        <w:spacing w:before="60" w:after="60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Organizace řízení během lhůty pro podání nabídek zahrnuje zejména tyto úkony:</w:t>
      </w:r>
    </w:p>
    <w:p w14:paraId="4B31784E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993" w:hanging="426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průběžné vedení dokumentace o řízení;</w:t>
      </w:r>
    </w:p>
    <w:p w14:paraId="43E12ACB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poskytování zadávací dokumentace, pokud není uveřejněna nebo není uveřejněna v plném rozsahu;</w:t>
      </w:r>
    </w:p>
    <w:p w14:paraId="30337B26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procesní zajištění prohlídky místa plnění, bude-li se konat</w:t>
      </w:r>
      <w:r w:rsidRPr="00AE341B">
        <w:rPr>
          <w:rFonts w:eastAsia="Calibri" w:cs="Arial"/>
          <w:sz w:val="22"/>
        </w:rPr>
        <w:t>;</w:t>
      </w:r>
    </w:p>
    <w:p w14:paraId="42082CA2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procesní zajištění příjmu žádosti o vysvětlení zadávacích podmínek;</w:t>
      </w:r>
    </w:p>
    <w:p w14:paraId="4EA515CC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procesní zajištění vypořádání žádostí o vysvětlení zadávacích podmínek, případně jejich změn či doplnění;</w:t>
      </w:r>
    </w:p>
    <w:p w14:paraId="2E420FDF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věcné vypořádání žádostí o vysvětlení zadávacích podmínek, případně jejich změn či doplnění, a to v rozsahu podmínek uvedených v zadávací dokumentaci, které byly stanoveny příkazníkem;</w:t>
      </w:r>
    </w:p>
    <w:p w14:paraId="3767B2E8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procesní zajištění ostatní komunikace mezi zadavatelem a dodavatelem (příp. účastníkem);</w:t>
      </w:r>
    </w:p>
    <w:p w14:paraId="20474068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procesní zajištění příjmu a otevírání nabídek, není-li ujednáno jinak;</w:t>
      </w:r>
    </w:p>
    <w:p w14:paraId="687E8C41" w14:textId="77777777" w:rsidR="00A84A37" w:rsidRPr="0051379C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správa řízení v elektronickém nástroji a na profilu zadavatele, obdrží-li příkazník přístup.</w:t>
      </w:r>
    </w:p>
    <w:p w14:paraId="59D77579" w14:textId="77777777" w:rsidR="00A84A37" w:rsidRPr="0051379C" w:rsidRDefault="00A84A37" w:rsidP="00A84A37">
      <w:pPr>
        <w:keepNext/>
        <w:numPr>
          <w:ilvl w:val="0"/>
          <w:numId w:val="1"/>
        </w:numPr>
        <w:spacing w:before="240" w:after="240"/>
        <w:ind w:left="357" w:hanging="357"/>
        <w:contextualSpacing/>
        <w:jc w:val="center"/>
        <w:outlineLvl w:val="0"/>
        <w:rPr>
          <w:rFonts w:eastAsia="Calibri" w:cs="Arial"/>
          <w:b/>
          <w:sz w:val="22"/>
        </w:rPr>
      </w:pPr>
      <w:bookmarkStart w:id="23" w:name="_Toc147747653"/>
      <w:bookmarkStart w:id="24" w:name="_Toc147747743"/>
      <w:r w:rsidRPr="0051379C">
        <w:rPr>
          <w:rFonts w:eastAsia="Calibri" w:cs="Arial"/>
          <w:b/>
          <w:sz w:val="22"/>
        </w:rPr>
        <w:t>Posouzení a hodnocení nabídek</w:t>
      </w:r>
      <w:bookmarkEnd w:id="23"/>
      <w:bookmarkEnd w:id="24"/>
    </w:p>
    <w:p w14:paraId="39C29752" w14:textId="77777777" w:rsidR="00A84A37" w:rsidRPr="00AE341B" w:rsidRDefault="00A84A37" w:rsidP="00A84A37">
      <w:pPr>
        <w:keepNext/>
        <w:numPr>
          <w:ilvl w:val="1"/>
          <w:numId w:val="1"/>
        </w:numPr>
        <w:spacing w:before="60" w:after="60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Organizace řízení během posouzení a hodnocení nabídek zahrnuje zejména tyto úkony:</w:t>
      </w:r>
    </w:p>
    <w:p w14:paraId="793401FF" w14:textId="77777777" w:rsidR="00A84A37" w:rsidRPr="00AE341B" w:rsidRDefault="00A84A37" w:rsidP="00A84A37">
      <w:pPr>
        <w:keepNext/>
        <w:numPr>
          <w:ilvl w:val="2"/>
          <w:numId w:val="1"/>
        </w:numPr>
        <w:spacing w:before="60" w:after="60"/>
        <w:ind w:firstLine="0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průběžné vedení dokumentace o řízení;</w:t>
      </w:r>
    </w:p>
    <w:p w14:paraId="5B3D9257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příprava podkladů pro jmenování a jednání komise pro posouzení a hodnocení nabídek (dále jen komise) (rozhodnutí o jmenování, čestných prohlášení, jednacího řádu, je-li vyžadováno příkazcem);</w:t>
      </w:r>
    </w:p>
    <w:p w14:paraId="6423F370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příprava podkladů pro jednání komise (rozbor nabídek z hlediska splnění podmínek účasti v zadávacím řízení v rozsahu, který odpovídá odbornosti příkazníka);</w:t>
      </w:r>
    </w:p>
    <w:p w14:paraId="523EF5BD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účast na jednání komise a její organizační řízení;</w:t>
      </w:r>
    </w:p>
    <w:p w14:paraId="54663CA2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 xml:space="preserve">zpracování písemných protokolů o jednání komise a zpracování zprávy o hodnocení nabídek; </w:t>
      </w:r>
    </w:p>
    <w:p w14:paraId="7130FF0C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procesní zajištění komunikace mezi zadavatelem a účastníkem, zejména pak zajištění odeslání výzvy k objasnění či doplnění nabídky, ke zdůvodnění mimořádně nízké nabídkové ceny a příjem objasnění nebo doplnění nabídky anebo zdůvodnění mimořádně nízké nabídkové ceny;</w:t>
      </w:r>
    </w:p>
    <w:p w14:paraId="7FB55449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příprava podkladů pro rozhodnutí zadavatele o výsledcích posouzení a hodnocení vč. případného rozhodnutí o zrušení řízení;</w:t>
      </w:r>
    </w:p>
    <w:p w14:paraId="6A6F6822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odeslání oznámení o vyloučení;</w:t>
      </w:r>
    </w:p>
    <w:p w14:paraId="4EFAC4AE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 w:rsidDel="008A7211">
        <w:rPr>
          <w:rFonts w:eastAsia="Calibri" w:cs="Arial"/>
          <w:sz w:val="22"/>
        </w:rPr>
        <w:t>správa řízení v elektronickém nástroji a na profilu zadavatele, obdrží-li příkazník přístup.</w:t>
      </w:r>
    </w:p>
    <w:p w14:paraId="0558295F" w14:textId="77777777" w:rsidR="00A84A37" w:rsidRPr="0051379C" w:rsidDel="008A7211" w:rsidRDefault="00A84A37" w:rsidP="00A84A37">
      <w:pPr>
        <w:spacing w:before="60" w:after="60"/>
        <w:ind w:left="1418"/>
        <w:rPr>
          <w:rFonts w:eastAsia="Calibri" w:cs="Arial"/>
          <w:sz w:val="22"/>
        </w:rPr>
      </w:pPr>
    </w:p>
    <w:p w14:paraId="2237D30B" w14:textId="77777777" w:rsidR="00A84A37" w:rsidRPr="0051379C" w:rsidRDefault="00A84A37" w:rsidP="00A84A37">
      <w:pPr>
        <w:keepNext/>
        <w:numPr>
          <w:ilvl w:val="0"/>
          <w:numId w:val="1"/>
        </w:numPr>
        <w:spacing w:before="240" w:after="240"/>
        <w:ind w:left="357" w:hanging="357"/>
        <w:contextualSpacing/>
        <w:jc w:val="center"/>
        <w:outlineLvl w:val="0"/>
        <w:rPr>
          <w:rFonts w:eastAsia="Calibri" w:cs="Arial"/>
          <w:b/>
          <w:sz w:val="22"/>
        </w:rPr>
      </w:pPr>
      <w:bookmarkStart w:id="25" w:name="_Toc147747654"/>
      <w:bookmarkStart w:id="26" w:name="_Toc147747744"/>
      <w:r w:rsidRPr="0051379C">
        <w:rPr>
          <w:rFonts w:eastAsia="Calibri" w:cs="Arial"/>
          <w:b/>
          <w:sz w:val="22"/>
        </w:rPr>
        <w:t>Po rozhodnutí o výsledku posouzení a hodnocení</w:t>
      </w:r>
      <w:bookmarkEnd w:id="25"/>
      <w:bookmarkEnd w:id="26"/>
    </w:p>
    <w:p w14:paraId="52A802F2" w14:textId="77777777" w:rsidR="00A84A37" w:rsidRPr="00AE341B" w:rsidRDefault="00A84A37" w:rsidP="00A84A37">
      <w:pPr>
        <w:numPr>
          <w:ilvl w:val="1"/>
          <w:numId w:val="1"/>
        </w:numPr>
        <w:spacing w:before="60" w:after="60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Organizace řízení po posouzení a hodnocení nabídek zahrnuje zejména tyto úkony:</w:t>
      </w:r>
    </w:p>
    <w:p w14:paraId="1285CF5D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firstLine="0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průběžné vedení dokumentace o řízení;</w:t>
      </w:r>
    </w:p>
    <w:p w14:paraId="3270E745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firstLine="0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odeslání výzvy vybranému dodavateli k předložení dokladů dle § 122 ZZVZ;</w:t>
      </w:r>
    </w:p>
    <w:p w14:paraId="30651CA8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firstLine="0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součinnost při zjištění údajů o skutečném majiteli u vybraného dodavatele;</w:t>
      </w:r>
    </w:p>
    <w:p w14:paraId="320923A9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součinnost při kontrole dokladů nebo vzorků předložených vybraným dodavatelem na základě výzvy dle § 122 ZZVZ (v rozsahu odbornosti příkazníka);</w:t>
      </w:r>
    </w:p>
    <w:p w14:paraId="23A9E0F0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 xml:space="preserve">po rozhodnutí o výběru dodavatele nebo jiného výsledku zadávacího řízení (vyloučení/zrušení) oznámení tohoto rozhodnutí příslušným účastníkům zadávacího řízení; </w:t>
      </w:r>
    </w:p>
    <w:p w14:paraId="47272929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odeslání výzvy k poskytnutí součinnosti před uzavřením smlouvy s vybraným dodavatelem;</w:t>
      </w:r>
    </w:p>
    <w:p w14:paraId="4462D8CB" w14:textId="77777777" w:rsidR="00A84A37" w:rsidRPr="0051379C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součinnost příkazci při uzavření smlouvy s vybraným dodavatelem;</w:t>
      </w:r>
    </w:p>
    <w:p w14:paraId="1F23C7DA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993" w:hanging="426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správa řízení v elektronickém nástroji a na profilu zadavatele, obdrží-li příkazník přístup.</w:t>
      </w:r>
    </w:p>
    <w:p w14:paraId="3AB6C372" w14:textId="77777777" w:rsidR="00A84A37" w:rsidRPr="0051379C" w:rsidRDefault="00A84A37" w:rsidP="00A84A37">
      <w:pPr>
        <w:spacing w:before="60" w:after="60"/>
        <w:ind w:left="993"/>
        <w:rPr>
          <w:rFonts w:eastAsia="Calibri" w:cs="Arial"/>
          <w:sz w:val="22"/>
        </w:rPr>
      </w:pPr>
    </w:p>
    <w:p w14:paraId="1074D0AC" w14:textId="77777777" w:rsidR="00A84A37" w:rsidRPr="0051379C" w:rsidRDefault="00A84A37" w:rsidP="00A84A37">
      <w:pPr>
        <w:keepNext/>
        <w:numPr>
          <w:ilvl w:val="0"/>
          <w:numId w:val="1"/>
        </w:numPr>
        <w:spacing w:before="240" w:after="240"/>
        <w:ind w:left="357" w:hanging="357"/>
        <w:contextualSpacing/>
        <w:jc w:val="center"/>
        <w:outlineLvl w:val="0"/>
        <w:rPr>
          <w:rFonts w:eastAsia="Calibri" w:cs="Arial"/>
          <w:b/>
          <w:sz w:val="22"/>
        </w:rPr>
      </w:pPr>
      <w:bookmarkStart w:id="27" w:name="_Toc147747655"/>
      <w:bookmarkStart w:id="28" w:name="_Toc147747745"/>
      <w:r w:rsidRPr="0051379C">
        <w:rPr>
          <w:rFonts w:eastAsia="Calibri" w:cs="Arial"/>
          <w:b/>
          <w:sz w:val="22"/>
        </w:rPr>
        <w:t>Po uzavření smlouvy / zrušení řízení</w:t>
      </w:r>
      <w:bookmarkEnd w:id="27"/>
      <w:bookmarkEnd w:id="28"/>
    </w:p>
    <w:p w14:paraId="6C760B4E" w14:textId="77777777" w:rsidR="00A84A37" w:rsidRPr="00AE341B" w:rsidRDefault="00A84A37" w:rsidP="00A84A37">
      <w:pPr>
        <w:numPr>
          <w:ilvl w:val="1"/>
          <w:numId w:val="1"/>
        </w:numPr>
        <w:spacing w:before="60" w:after="60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Organizace řízení po uzavření smlouvy / zrušení řízení zahrnuje zejména tyto úkony:</w:t>
      </w:r>
    </w:p>
    <w:p w14:paraId="079CB1B7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firstLine="0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průběžné vedení dokumentace o řízení;</w:t>
      </w:r>
    </w:p>
    <w:p w14:paraId="215A6F0E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příprava a uveřejnění potřebných procesních formulářů souvisejících s ukončením řízení (např. do Věstníku veřejných zakázek);</w:t>
      </w:r>
    </w:p>
    <w:p w14:paraId="2563410E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vypracování a zveřejnění písemné zprávy zadavatele;</w:t>
      </w:r>
    </w:p>
    <w:p w14:paraId="6BC38F2C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 xml:space="preserve">kompletace a předání dokumentace o průběhu zadávacího řízení k archivaci příkazci; </w:t>
      </w:r>
    </w:p>
    <w:p w14:paraId="48588A10" w14:textId="77777777" w:rsidR="00A84A37" w:rsidRPr="0051379C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správa řízení v elektronickém nástroji a na profilu zadavatele, obdrží-li příkazník přístup, a to do splnění výše uvedených povinností.</w:t>
      </w:r>
    </w:p>
    <w:p w14:paraId="07B5640E" w14:textId="77777777" w:rsidR="00A84A37" w:rsidRPr="00AE341B" w:rsidRDefault="00A84A37" w:rsidP="00A84A37">
      <w:pPr>
        <w:numPr>
          <w:ilvl w:val="1"/>
          <w:numId w:val="1"/>
        </w:numPr>
        <w:spacing w:before="60" w:after="60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 xml:space="preserve">Organizace řízení ve fázi po uveřejnění smlouvy </w:t>
      </w:r>
      <w:r w:rsidRPr="0051379C">
        <w:rPr>
          <w:rFonts w:eastAsia="Calibri" w:cs="Arial"/>
          <w:b/>
          <w:bCs/>
          <w:sz w:val="22"/>
          <w:u w:val="single"/>
        </w:rPr>
        <w:t>nezahrnuje</w:t>
      </w:r>
      <w:r w:rsidRPr="0051379C">
        <w:rPr>
          <w:rFonts w:eastAsia="Calibri" w:cs="Arial"/>
          <w:sz w:val="22"/>
        </w:rPr>
        <w:t xml:space="preserve"> tyto úkony:</w:t>
      </w:r>
    </w:p>
    <w:p w14:paraId="54CC1133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firstLine="0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průběžné vedení dokumentace o řízení;</w:t>
      </w:r>
    </w:p>
    <w:p w14:paraId="33BCC07F" w14:textId="77777777" w:rsidR="00A84A37" w:rsidRPr="00AE341B" w:rsidRDefault="00A84A37" w:rsidP="00A84A37">
      <w:pPr>
        <w:numPr>
          <w:ilvl w:val="2"/>
          <w:numId w:val="1"/>
        </w:numPr>
        <w:spacing w:before="60" w:after="60"/>
        <w:ind w:firstLine="0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uveřejnění skutečně uhrazené ceny na profilu zadavatele (vznikne-li tato povinnost);</w:t>
      </w:r>
    </w:p>
    <w:p w14:paraId="6B31A259" w14:textId="77777777" w:rsidR="00A84A37" w:rsidRPr="0051379C" w:rsidRDefault="00A84A37" w:rsidP="00A84A37">
      <w:pPr>
        <w:numPr>
          <w:ilvl w:val="2"/>
          <w:numId w:val="1"/>
        </w:numPr>
        <w:spacing w:before="60" w:after="60"/>
        <w:ind w:left="1418" w:hanging="851"/>
        <w:rPr>
          <w:rFonts w:eastAsia="Calibri" w:cs="Arial"/>
          <w:sz w:val="22"/>
        </w:rPr>
      </w:pPr>
      <w:r w:rsidRPr="0051379C">
        <w:rPr>
          <w:rFonts w:eastAsia="Calibri" w:cs="Arial"/>
          <w:sz w:val="22"/>
        </w:rPr>
        <w:t>příprava změn závazku, jejich oznámení do Věstníku veřejných zakázek (vznikne-li tato povinnost) a jejich uveřejnění na profilu zadavatele (vznikne-li tato povinnost).</w:t>
      </w:r>
    </w:p>
    <w:p w14:paraId="6A2E24D8" w14:textId="77777777" w:rsidR="00A84A37" w:rsidRPr="0051379C" w:rsidRDefault="00A84A37" w:rsidP="00A84A37">
      <w:pPr>
        <w:spacing w:before="60" w:after="60"/>
        <w:ind w:left="567" w:hanging="567"/>
        <w:rPr>
          <w:rFonts w:eastAsia="Calibri" w:cs="Arial"/>
          <w:szCs w:val="20"/>
        </w:rPr>
      </w:pPr>
    </w:p>
    <w:p w14:paraId="6D2E687A" w14:textId="3465DF57" w:rsidR="005D02CB" w:rsidRPr="00287A3F" w:rsidRDefault="005D02CB" w:rsidP="00287A3F">
      <w:pPr>
        <w:spacing w:line="259" w:lineRule="auto"/>
        <w:jc w:val="left"/>
        <w:rPr>
          <w:rFonts w:cs="Arial"/>
          <w:szCs w:val="20"/>
          <w:lang w:eastAsia="cs-CZ"/>
        </w:rPr>
      </w:pPr>
    </w:p>
    <w:sectPr w:rsidR="005D02CB" w:rsidRPr="00287A3F" w:rsidSect="001076AF">
      <w:headerReference w:type="default" r:id="rId8"/>
      <w:footerReference w:type="default" r:id="rId9"/>
      <w:headerReference w:type="first" r:id="rId10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B967B" w14:textId="77777777" w:rsidR="00836497" w:rsidRDefault="00836497" w:rsidP="00A84A37">
      <w:pPr>
        <w:spacing w:after="0" w:line="240" w:lineRule="auto"/>
      </w:pPr>
      <w:r>
        <w:separator/>
      </w:r>
    </w:p>
  </w:endnote>
  <w:endnote w:type="continuationSeparator" w:id="0">
    <w:p w14:paraId="7DBAA064" w14:textId="77777777" w:rsidR="00836497" w:rsidRDefault="00836497" w:rsidP="00A8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3422306"/>
      <w:docPartObj>
        <w:docPartGallery w:val="Page Numbers (Bottom of Page)"/>
        <w:docPartUnique/>
      </w:docPartObj>
    </w:sdtPr>
    <w:sdtEndPr/>
    <w:sdtContent>
      <w:p w14:paraId="323E812B" w14:textId="4469D3C2" w:rsidR="00A84A37" w:rsidRDefault="00A84A3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090">
          <w:rPr>
            <w:noProof/>
          </w:rPr>
          <w:t>8</w:t>
        </w:r>
        <w:r>
          <w:fldChar w:fldCharType="end"/>
        </w:r>
      </w:p>
    </w:sdtContent>
  </w:sdt>
  <w:p w14:paraId="22EE1EF2" w14:textId="77777777" w:rsidR="00A84A37" w:rsidRDefault="00A84A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6E8E0" w14:textId="77777777" w:rsidR="00836497" w:rsidRDefault="00836497" w:rsidP="00A84A37">
      <w:pPr>
        <w:spacing w:after="0" w:line="240" w:lineRule="auto"/>
      </w:pPr>
      <w:r>
        <w:separator/>
      </w:r>
    </w:p>
  </w:footnote>
  <w:footnote w:type="continuationSeparator" w:id="0">
    <w:p w14:paraId="5F8A2946" w14:textId="77777777" w:rsidR="00836497" w:rsidRDefault="00836497" w:rsidP="00A8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B4EAD" w14:textId="7C50CE7B" w:rsidR="00A84A37" w:rsidRPr="00244937" w:rsidRDefault="00643C1F" w:rsidP="0033547C">
    <w:pPr>
      <w:pBdr>
        <w:top w:val="nil"/>
        <w:left w:val="nil"/>
        <w:bottom w:val="nil"/>
        <w:right w:val="nil"/>
        <w:between w:val="nil"/>
      </w:pBdr>
      <w:tabs>
        <w:tab w:val="left" w:pos="8255"/>
      </w:tabs>
      <w:spacing w:after="0" w:line="240" w:lineRule="auto"/>
      <w:jc w:val="right"/>
      <w:rPr>
        <w:rFonts w:eastAsia="Arial" w:cs="Arial"/>
        <w:color w:val="000000"/>
        <w:szCs w:val="20"/>
        <w:lang w:val="cs" w:eastAsia="en-GB"/>
      </w:rPr>
    </w:pPr>
    <w:r>
      <w:rPr>
        <w:rFonts w:eastAsia="Arial" w:cs="Arial"/>
        <w:color w:val="000000"/>
        <w:szCs w:val="20"/>
        <w:lang w:val="cs" w:eastAsia="en-GB"/>
      </w:rPr>
      <w:t xml:space="preserve">č. </w:t>
    </w:r>
    <w:r w:rsidR="00287A3F">
      <w:rPr>
        <w:rFonts w:eastAsia="Arial" w:cs="Arial"/>
        <w:color w:val="000000"/>
        <w:szCs w:val="20"/>
        <w:lang w:val="cs" w:eastAsia="en-GB"/>
      </w:rPr>
      <w:t>S</w:t>
    </w:r>
    <w:r>
      <w:rPr>
        <w:rFonts w:eastAsia="Arial" w:cs="Arial"/>
        <w:color w:val="000000"/>
        <w:szCs w:val="20"/>
        <w:lang w:val="cs" w:eastAsia="en-GB"/>
      </w:rPr>
      <w:t>mlouvy</w:t>
    </w:r>
    <w:r w:rsidR="00287A3F">
      <w:rPr>
        <w:rFonts w:eastAsia="Arial" w:cs="Arial"/>
        <w:color w:val="000000"/>
        <w:szCs w:val="20"/>
        <w:lang w:val="cs" w:eastAsia="en-GB"/>
      </w:rPr>
      <w:t>.......................</w:t>
    </w:r>
  </w:p>
  <w:p w14:paraId="72D561E2" w14:textId="77777777" w:rsidR="00A84A37" w:rsidRDefault="00A84A37" w:rsidP="00804937">
    <w:pPr>
      <w:tabs>
        <w:tab w:val="center" w:pos="4536"/>
        <w:tab w:val="right" w:pos="9072"/>
      </w:tabs>
      <w:spacing w:after="0" w:line="240" w:lineRule="aut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9AEF4" w14:textId="776498C2" w:rsidR="000B3139" w:rsidRDefault="000B3139">
    <w:pPr>
      <w:pStyle w:val="Zhlav"/>
    </w:pPr>
    <w:r>
      <w:tab/>
      <w:t xml:space="preserve">                                                                                                                       č. smlouvy: </w:t>
    </w:r>
    <w:r w:rsidR="00287A3F">
      <w:t>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85B"/>
    <w:multiLevelType w:val="multilevel"/>
    <w:tmpl w:val="6B6ECA16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D10124"/>
    <w:multiLevelType w:val="multilevel"/>
    <w:tmpl w:val="04C44BA4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3D6718"/>
    <w:multiLevelType w:val="multilevel"/>
    <w:tmpl w:val="9EE41682"/>
    <w:lvl w:ilvl="0">
      <w:start w:val="1"/>
      <w:numFmt w:val="upperRoman"/>
      <w:lvlText w:val="%1."/>
      <w:lvlJc w:val="left"/>
      <w:pPr>
        <w:ind w:left="2770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pStyle w:val="rove1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92D73C9"/>
    <w:multiLevelType w:val="multilevel"/>
    <w:tmpl w:val="6B6ECA16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color w:val="000000" w:themeColor="text1"/>
          <w:sz w:val="20"/>
          <w:szCs w:val="20"/>
        </w:rPr>
      </w:lvl>
    </w:lvlOverride>
    <w:lvlOverride w:ilvl="1">
      <w:lvl w:ilvl="1">
        <w:start w:val="1"/>
        <w:numFmt w:val="decimal"/>
        <w:pStyle w:val="rove1"/>
        <w:isLgl/>
        <w:lvlText w:val="%1.%2.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851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37"/>
    <w:rsid w:val="00020217"/>
    <w:rsid w:val="000B3139"/>
    <w:rsid w:val="000B44A9"/>
    <w:rsid w:val="000F25F9"/>
    <w:rsid w:val="00100F4B"/>
    <w:rsid w:val="001076AF"/>
    <w:rsid w:val="00244937"/>
    <w:rsid w:val="00276090"/>
    <w:rsid w:val="00287A3F"/>
    <w:rsid w:val="00315F5F"/>
    <w:rsid w:val="00472DEF"/>
    <w:rsid w:val="00482583"/>
    <w:rsid w:val="0054599E"/>
    <w:rsid w:val="005577A9"/>
    <w:rsid w:val="005D02CB"/>
    <w:rsid w:val="00615C5A"/>
    <w:rsid w:val="00643C1F"/>
    <w:rsid w:val="007768AC"/>
    <w:rsid w:val="0083127D"/>
    <w:rsid w:val="00836497"/>
    <w:rsid w:val="00A84A37"/>
    <w:rsid w:val="00B0195B"/>
    <w:rsid w:val="00B0383D"/>
    <w:rsid w:val="00C24692"/>
    <w:rsid w:val="00D10687"/>
    <w:rsid w:val="00DD5A61"/>
    <w:rsid w:val="00E05221"/>
    <w:rsid w:val="00E30E42"/>
    <w:rsid w:val="00E627E3"/>
    <w:rsid w:val="00F45BF4"/>
    <w:rsid w:val="00F6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969C6"/>
  <w15:chartTrackingRefBased/>
  <w15:docId w15:val="{C70A7688-58EF-49EA-A637-4819B0E4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A37"/>
    <w:pPr>
      <w:spacing w:after="120" w:line="276" w:lineRule="auto"/>
      <w:jc w:val="both"/>
    </w:pPr>
    <w:rPr>
      <w:rFonts w:ascii="Arial" w:hAnsi="Arial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84A37"/>
    <w:pPr>
      <w:keepNext/>
      <w:keepLines/>
      <w:spacing w:before="1320" w:after="240"/>
      <w:outlineLvl w:val="0"/>
    </w:pPr>
    <w:rPr>
      <w:rFonts w:eastAsiaTheme="majorEastAsia" w:cstheme="majorBidi"/>
      <w:b/>
      <w:color w:val="70B73E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4A37"/>
    <w:rPr>
      <w:rFonts w:ascii="Arial" w:eastAsiaTheme="majorEastAsia" w:hAnsi="Arial" w:cstheme="majorBidi"/>
      <w:b/>
      <w:color w:val="70B73E"/>
      <w:kern w:val="0"/>
      <w:sz w:val="28"/>
      <w:szCs w:val="32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84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4A37"/>
    <w:rPr>
      <w:rFonts w:ascii="Arial" w:hAnsi="Arial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84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4A37"/>
    <w:rPr>
      <w:rFonts w:ascii="Arial" w:hAnsi="Arial"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A84A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A84A37"/>
    <w:pPr>
      <w:spacing w:after="200"/>
      <w:contextualSpacing/>
    </w:pPr>
    <w:rPr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A84A37"/>
    <w:rPr>
      <w:rFonts w:ascii="Arial" w:hAnsi="Arial"/>
      <w:kern w:val="0"/>
      <w:sz w:val="20"/>
      <w:szCs w:val="2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A84A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4A3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rove1">
    <w:name w:val="Úroveň 1"/>
    <w:basedOn w:val="Odstavecseseznamem"/>
    <w:link w:val="rove1Char"/>
    <w:qFormat/>
    <w:rsid w:val="00A84A37"/>
    <w:pPr>
      <w:numPr>
        <w:ilvl w:val="1"/>
        <w:numId w:val="1"/>
      </w:numPr>
      <w:spacing w:before="60" w:after="60"/>
      <w:contextualSpacing w:val="0"/>
    </w:pPr>
    <w:rPr>
      <w:rFonts w:cs="Arial"/>
    </w:rPr>
  </w:style>
  <w:style w:type="paragraph" w:customStyle="1" w:styleId="rove2">
    <w:name w:val="Úroveň 2"/>
    <w:basedOn w:val="rove1"/>
    <w:link w:val="rove2Char"/>
    <w:qFormat/>
    <w:rsid w:val="00A84A37"/>
  </w:style>
  <w:style w:type="character" w:customStyle="1" w:styleId="rove1Char">
    <w:name w:val="Úroveň 1 Char"/>
    <w:basedOn w:val="Standardnpsmoodstavce"/>
    <w:link w:val="rove1"/>
    <w:rsid w:val="00A84A37"/>
    <w:rPr>
      <w:rFonts w:ascii="Arial" w:hAnsi="Arial" w:cs="Arial"/>
      <w:kern w:val="0"/>
      <w:sz w:val="20"/>
      <w:szCs w:val="20"/>
      <w14:ligatures w14:val="none"/>
    </w:rPr>
  </w:style>
  <w:style w:type="paragraph" w:customStyle="1" w:styleId="rove3">
    <w:name w:val="Úroveň 3"/>
    <w:basedOn w:val="rove2"/>
    <w:link w:val="rove3Char"/>
    <w:qFormat/>
    <w:rsid w:val="00A84A37"/>
    <w:pPr>
      <w:ind w:left="851" w:hanging="284"/>
    </w:pPr>
  </w:style>
  <w:style w:type="character" w:customStyle="1" w:styleId="rove2Char">
    <w:name w:val="Úroveň 2 Char"/>
    <w:basedOn w:val="rove1Char"/>
    <w:link w:val="rove2"/>
    <w:rsid w:val="00A84A37"/>
    <w:rPr>
      <w:rFonts w:ascii="Arial" w:hAnsi="Arial" w:cs="Arial"/>
      <w:kern w:val="0"/>
      <w:sz w:val="20"/>
      <w:szCs w:val="20"/>
      <w14:ligatures w14:val="none"/>
    </w:rPr>
  </w:style>
  <w:style w:type="character" w:customStyle="1" w:styleId="rove3Char">
    <w:name w:val="Úroveň 3 Char"/>
    <w:basedOn w:val="rove2Char"/>
    <w:link w:val="rove3"/>
    <w:rsid w:val="00A84A37"/>
    <w:rPr>
      <w:rFonts w:ascii="Arial" w:hAnsi="Arial" w:cs="Arial"/>
      <w:kern w:val="0"/>
      <w:sz w:val="20"/>
      <w:szCs w:val="20"/>
      <w14:ligatures w14:val="none"/>
    </w:rPr>
  </w:style>
  <w:style w:type="table" w:customStyle="1" w:styleId="Mkatabulky14">
    <w:name w:val="Mřížka tabulky14"/>
    <w:basedOn w:val="Normlntabulka"/>
    <w:next w:val="Mkatabulky"/>
    <w:uiPriority w:val="39"/>
    <w:rsid w:val="00A84A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84A37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106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068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0687"/>
    <w:rPr>
      <w:rFonts w:ascii="Arial" w:hAnsi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06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0687"/>
    <w:rPr>
      <w:rFonts w:ascii="Arial" w:hAnsi="Arial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687"/>
    <w:rPr>
      <w:rFonts w:ascii="Segoe UI" w:hAnsi="Segoe UI" w:cs="Segoe UI"/>
      <w:kern w:val="0"/>
      <w:sz w:val="18"/>
      <w:szCs w:val="18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459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fal.zawadzki@trineck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11</Pages>
  <Words>3794</Words>
  <Characters>22385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Michal Šilhánek</dc:creator>
  <cp:keywords/>
  <dc:description/>
  <cp:lastModifiedBy>Libuše Škodová</cp:lastModifiedBy>
  <cp:revision>3</cp:revision>
  <cp:lastPrinted>2023-11-06T11:55:00Z</cp:lastPrinted>
  <dcterms:created xsi:type="dcterms:W3CDTF">2025-10-29T12:22:00Z</dcterms:created>
  <dcterms:modified xsi:type="dcterms:W3CDTF">2025-10-30T07:30:00Z</dcterms:modified>
</cp:coreProperties>
</file>