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28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50037CAD" w14:textId="77777777" w:rsidR="00B36B60" w:rsidRPr="009979B8" w:rsidRDefault="00B36B60" w:rsidP="00B36B60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009DDEB" w14:textId="77777777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14:paraId="25936EE4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411F799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60546918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50A69F" w14:textId="1647415F"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5E71A7">
        <w:rPr>
          <w:rFonts w:ascii="Arial" w:hAnsi="Arial" w:cs="Arial"/>
          <w:b/>
          <w:bCs/>
          <w:i/>
          <w:u w:val="single"/>
        </w:rPr>
        <w:t>Pojištění vozidel</w:t>
      </w:r>
      <w:r w:rsidR="00D73282">
        <w:rPr>
          <w:rFonts w:ascii="Arial" w:hAnsi="Arial" w:cs="Arial"/>
          <w:b/>
          <w:bCs/>
          <w:i/>
          <w:u w:val="single"/>
        </w:rPr>
        <w:t xml:space="preserve"> SSMT</w:t>
      </w:r>
      <w:r w:rsidR="005E71A7">
        <w:rPr>
          <w:rFonts w:ascii="Arial" w:hAnsi="Arial" w:cs="Arial"/>
          <w:b/>
          <w:bCs/>
          <w:i/>
          <w:u w:val="single"/>
        </w:rPr>
        <w:t xml:space="preserve"> 202</w:t>
      </w:r>
      <w:r w:rsidR="00061630">
        <w:rPr>
          <w:rFonts w:ascii="Arial" w:hAnsi="Arial" w:cs="Arial"/>
          <w:b/>
          <w:bCs/>
          <w:i/>
          <w:u w:val="single"/>
        </w:rPr>
        <w:t>5-2027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2E14E0A1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71FA432C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28EFE22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EC4B07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C3ACB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0AE30218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CD2E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25C2DB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BF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BD3E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E7D5CE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A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202A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3BC7E3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6CF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CA11FCE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BE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2D48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020E8C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D6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662ED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9A5D0DD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E0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8C47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E3699A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A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F9C9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DDAE26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B27FBA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160F619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6F7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D37B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ACB17C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AC3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BE34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BA838C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BDFDF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7F9E18C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1DC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525DC504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25BFA1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D96948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24CC09C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42A00D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128668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55F2179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37EFD4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9C854D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56B2B66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B6CAE90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594322E2" w14:textId="3EA5E00D" w:rsidR="005B0225" w:rsidRPr="00061630" w:rsidRDefault="005B0225" w:rsidP="00061630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</w:tc>
      </w:tr>
      <w:tr w:rsidR="005B0225" w:rsidRPr="005B0225" w14:paraId="070634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B074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9590E6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3FB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01AEC3CC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9A0FB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6B538FF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AE7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CFE9E6C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481F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4C9CE5C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4995433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090F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31E889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A03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9F34483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34983546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4E40968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1EDC43B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0B01088D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E849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14:paraId="13EB8DB8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AD0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58482BBA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63C2694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44D48B8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4EA87B4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08E057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5373B82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96CDD4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070D0B9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0303EEF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8F38EE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2BE7EC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112B31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656D83E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569E2C6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A2DA61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04488F61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1E4C937C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0836" w14:textId="77777777" w:rsidR="00683116" w:rsidRDefault="00683116">
      <w:pPr>
        <w:spacing w:after="0"/>
      </w:pPr>
      <w:r>
        <w:separator/>
      </w:r>
    </w:p>
  </w:endnote>
  <w:endnote w:type="continuationSeparator" w:id="0">
    <w:p w14:paraId="0F6C6E4A" w14:textId="77777777" w:rsidR="00683116" w:rsidRDefault="0068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A7FB" w14:textId="77777777" w:rsidR="007175E7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6094D" w14:textId="77777777" w:rsidR="007175E7" w:rsidRDefault="007175E7">
    <w:pPr>
      <w:pStyle w:val="Zpat"/>
    </w:pPr>
  </w:p>
  <w:p w14:paraId="765F7C87" w14:textId="77777777" w:rsidR="007175E7" w:rsidRDefault="0071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32E1" w14:textId="77777777" w:rsidR="007175E7" w:rsidRPr="004E79D8" w:rsidRDefault="007175E7">
    <w:pPr>
      <w:pStyle w:val="Zpat"/>
      <w:jc w:val="center"/>
      <w:rPr>
        <w:rFonts w:ascii="Arial" w:hAnsi="Arial" w:cs="Arial"/>
        <w:lang w:val="cs-CZ"/>
      </w:rPr>
    </w:pPr>
  </w:p>
  <w:p w14:paraId="2833BFB3" w14:textId="77777777" w:rsidR="007175E7" w:rsidRDefault="0071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7E87" w14:textId="77777777" w:rsidR="00683116" w:rsidRDefault="00683116">
      <w:pPr>
        <w:spacing w:after="0"/>
      </w:pPr>
      <w:r>
        <w:separator/>
      </w:r>
    </w:p>
  </w:footnote>
  <w:footnote w:type="continuationSeparator" w:id="0">
    <w:p w14:paraId="44A690D9" w14:textId="77777777" w:rsidR="00683116" w:rsidRDefault="006831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FFF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2060395238">
    <w:abstractNumId w:val="3"/>
  </w:num>
  <w:num w:numId="2" w16cid:durableId="18168857">
    <w:abstractNumId w:val="0"/>
  </w:num>
  <w:num w:numId="3" w16cid:durableId="1104770328">
    <w:abstractNumId w:val="1"/>
  </w:num>
  <w:num w:numId="4" w16cid:durableId="11468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61630"/>
    <w:rsid w:val="000C4CDF"/>
    <w:rsid w:val="001D45BA"/>
    <w:rsid w:val="0025622F"/>
    <w:rsid w:val="0027043F"/>
    <w:rsid w:val="002E1BAA"/>
    <w:rsid w:val="003D145E"/>
    <w:rsid w:val="00414D6A"/>
    <w:rsid w:val="004307DE"/>
    <w:rsid w:val="00445FCA"/>
    <w:rsid w:val="00516A22"/>
    <w:rsid w:val="005663E1"/>
    <w:rsid w:val="00567C6C"/>
    <w:rsid w:val="00593C81"/>
    <w:rsid w:val="005B0225"/>
    <w:rsid w:val="005C375A"/>
    <w:rsid w:val="005E71A7"/>
    <w:rsid w:val="005F16C6"/>
    <w:rsid w:val="00683116"/>
    <w:rsid w:val="00707F87"/>
    <w:rsid w:val="007114A0"/>
    <w:rsid w:val="007175E7"/>
    <w:rsid w:val="00752ED2"/>
    <w:rsid w:val="00766C01"/>
    <w:rsid w:val="00773E5D"/>
    <w:rsid w:val="007B563A"/>
    <w:rsid w:val="007D74E7"/>
    <w:rsid w:val="007F3DC9"/>
    <w:rsid w:val="00821F16"/>
    <w:rsid w:val="00824BBE"/>
    <w:rsid w:val="00933882"/>
    <w:rsid w:val="009362CA"/>
    <w:rsid w:val="00942422"/>
    <w:rsid w:val="00966230"/>
    <w:rsid w:val="009979B8"/>
    <w:rsid w:val="00B15BB7"/>
    <w:rsid w:val="00B36B60"/>
    <w:rsid w:val="00D2047E"/>
    <w:rsid w:val="00D42685"/>
    <w:rsid w:val="00D67B79"/>
    <w:rsid w:val="00D73282"/>
    <w:rsid w:val="00DF6F3C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1743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Soňa Sližová</cp:lastModifiedBy>
  <cp:revision>5</cp:revision>
  <dcterms:created xsi:type="dcterms:W3CDTF">2025-06-23T10:17:00Z</dcterms:created>
  <dcterms:modified xsi:type="dcterms:W3CDTF">2025-07-22T08:22:00Z</dcterms:modified>
</cp:coreProperties>
</file>